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both"/>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5411" w:hanging="3975"/>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垃圾中转站设施设备、公厕新建及改造项目</w:t>
      </w:r>
      <w:r/>
    </w:p>
    <w:p>
      <w:pPr>
        <w:ind w:left="5405" w:hanging="2891"/>
        <w:spacing w:line="760" w:lineRule="exact"/>
        <w:rPr>
          <w:rFonts w:hint="eastAsia" w:ascii="黑体" w:hAnsi="黑体" w:eastAsia="黑体"/>
          <w:b/>
          <w:sz w:val="36"/>
          <w:lang w:val="en-US" w:eastAsia="zh-CN"/>
        </w:rPr>
      </w:pPr>
      <w:r>
        <w:rPr>
          <w:rFonts w:hint="eastAsia" w:ascii="黑体" w:hAnsi="黑体" w:eastAsia="黑体"/>
          <w:b/>
          <w:sz w:val="36"/>
          <w:szCs w:val="36"/>
          <w:lang w:eastAsia="zh-CN"/>
        </w:rPr>
        <w:t xml:space="preserve">（地埋水平压缩式设备采购）</w:t>
      </w:r>
      <w:r>
        <w:rPr>
          <w:rFonts w:hint="eastAsia" w:ascii="黑体" w:hAnsi="黑体" w:eastAsia="黑体"/>
          <w:b/>
          <w:sz w:val="36"/>
          <w:lang w:val="en-US" w:eastAsia="zh-CN"/>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ind w:firstLine="1579"/>
        <w:spacing w:line="760" w:lineRule="exact"/>
        <w:rPr>
          <w:rFonts w:hint="eastAsia"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sz w:val="36"/>
          <w:lang w:val="en-US" w:eastAsia="zh-CN"/>
        </w:rPr>
        <w:t xml:space="preserve">JSZC-320812-YSJS-G2026-0008</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江苏永实工程项目管理有限公司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p>
    <w:p>
      <w:pPr>
        <w:rPr>
          <w:rFonts w:hint="eastAsia" w:ascii="宋体" w:hAnsi="宋体"/>
          <w:sz w:val="24"/>
        </w:rPr>
      </w:pPr>
      <w:r>
        <w:rPr>
          <w:rFonts w:hint="eastAsia" w:ascii="宋体" w:hAnsi="宋体"/>
          <w:sz w:val="24"/>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t xml:space="preserve">受淮安市清江浦区环卫事业管理服务中心的委托，</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就</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进行公开招标采购，现邀请符合条件的供应商参加投标。</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（一）项目编号:JSZC-320812-YSJS-G2026-0008</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 </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color w:val="auto"/>
          <w:sz w:val="28"/>
          <w:szCs w:val="28"/>
        </w:rPr>
      </w:pPr>
      <w:r>
        <w:rPr>
          <w:rFonts w:hint="eastAsia" w:ascii="仿宋" w:hAnsi="仿宋" w:eastAsia="仿宋"/>
          <w:sz w:val="28"/>
          <w:szCs w:val="28"/>
        </w:rPr>
        <w:t xml:space="preserve">（五）采购需求:地埋水平压缩式12立方中转站设备16套，详细内容</w:t>
      </w:r>
      <w:r>
        <w:rPr>
          <w:rFonts w:hint="eastAsia" w:ascii="仿宋" w:hAnsi="仿宋" w:eastAsia="仿宋"/>
          <w:color w:val="auto"/>
          <w:sz w:val="28"/>
          <w:szCs w:val="28"/>
        </w:rPr>
        <w:t xml:space="preserve">见本招标文件第五章。</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（六）合同履行期限:合同签订后，中标供应商接到采购人供货通知15日内供货安装调试到位并交付采购人使用。（供货数量以采购人通知为准，实行分批供货，不一次性完成全部交付。） </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（七）本项目不</w:t>
      </w:r>
      <w:r>
        <w:rPr>
          <w:rFonts w:hint="eastAsia" w:ascii="仿宋" w:hAnsi="仿宋" w:eastAsia="仿宋"/>
          <w:color w:val="auto"/>
          <w:sz w:val="28"/>
          <w:szCs w:val="28"/>
        </w:rPr>
        <w:t xml:space="preserve">接受联合体投标。</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color w:val="auto"/>
          <w:sz w:val="28"/>
          <w:szCs w:val="28"/>
          <w:u w:val="single"/>
        </w:rPr>
        <w:t xml:space="preserve">工业</w:t>
      </w:r>
      <w:r>
        <w:rPr>
          <w:rFonts w:hint="eastAsia" w:ascii="仿宋" w:hAnsi="仿宋" w:eastAsia="仿宋"/>
          <w:color w:val="auto"/>
          <w:sz w:val="28"/>
          <w:szCs w:val="28"/>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28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1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rPr>
        <w:t xml:space="preserve">（1）本项目要求供应商以联合体形式参加，中小企业合同</w:t>
      </w:r>
      <w:r>
        <w:rPr>
          <w:rFonts w:hint="eastAsia" w:ascii="仿宋" w:hAnsi="仿宋" w:eastAsia="仿宋"/>
          <w:sz w:val="28"/>
          <w:szCs w:val="28"/>
          <w:lang w:val="zh-CN"/>
        </w:rPr>
        <w:t xml:space="preserve">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（三）本项目的特定资格要求:无。</w:t>
      </w:r>
      <w:r/>
    </w:p>
    <w:p>
      <w:pPr>
        <w:spacing w:line="520" w:lineRule="exact"/>
        <w:rPr>
          <w:rFonts w:hint="eastAsia"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hint="eastAsia"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方式：在“淮安市政府采购网”自行免费下载招标文件。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ind w:firstLine="652"/>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开标地点：淮安市北京北路99号清江浦区公共资源交易中心不见面开标室</w:t>
      </w:r>
      <w:r/>
    </w:p>
    <w:p>
      <w:pPr>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名    称：淮安市清江浦区环卫事业管理服务中心</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    址: 淮安市清江浦区健康西路81号</w:t>
      </w:r>
      <w:r/>
    </w:p>
    <w:p>
      <w:pPr>
        <w:ind w:firstLine="565"/>
        <w:spacing w:line="520" w:lineRule="exact"/>
        <w:rPr>
          <w:rFonts w:hint="eastAsia" w:ascii="仿宋" w:hAnsi="仿宋" w:eastAsia="仿宋" w:cs="仿宋"/>
          <w:bCs/>
          <w:sz w:val="28"/>
          <w:szCs w:val="28"/>
        </w:rPr>
      </w:pPr>
      <w:r>
        <w:rPr>
          <w:rFonts w:hint="eastAsia" w:ascii="仿宋" w:hAnsi="仿宋" w:eastAsia="仿宋"/>
          <w:sz w:val="28"/>
          <w:szCs w:val="28"/>
        </w:rPr>
        <w:t xml:space="preserve">联系方式:戴科长      联系电话：</w:t>
      </w:r>
      <w:r>
        <w:rPr>
          <w:rFonts w:hint="eastAsia" w:ascii="仿宋" w:hAnsi="仿宋" w:eastAsia="仿宋" w:cs="仿宋"/>
          <w:bCs/>
          <w:sz w:val="28"/>
          <w:szCs w:val="28"/>
        </w:rPr>
        <w:t xml:space="preserve">13952308339</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    址:</w:t>
      </w:r>
      <w:r>
        <w:rPr>
          <w:rFonts w:hint="eastAsia" w:ascii="仿宋" w:hAnsi="仿宋" w:eastAsia="仿宋"/>
          <w:sz w:val="28"/>
          <w:szCs w:val="28"/>
          <w:lang w:val="en-US" w:eastAsia="zh-CN"/>
        </w:rPr>
        <w:t xml:space="preserve">淮安市经济技术开发区留学生创业园1号楼211室</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张维</w:t>
      </w:r>
      <w:r>
        <w:rPr>
          <w:rFonts w:hint="eastAsia" w:ascii="仿宋" w:hAnsi="仿宋" w:eastAsia="仿宋"/>
          <w:sz w:val="28"/>
          <w:szCs w:val="28"/>
        </w:rPr>
        <w:t xml:space="preserve">      联系电话：</w:t>
      </w:r>
      <w:r>
        <w:rPr>
          <w:rFonts w:hint="eastAsia" w:ascii="仿宋" w:hAnsi="仿宋" w:eastAsia="仿宋" w:cs="仿宋"/>
          <w:bCs/>
          <w:sz w:val="28"/>
          <w:szCs w:val="28"/>
          <w:lang w:val="en-US" w:eastAsia="zh-CN"/>
        </w:rPr>
        <w:t xml:space="preserve">18936389198</w:t>
      </w:r>
      <w:r/>
    </w:p>
    <w:p>
      <w:pPr>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本项目不收取投标保证金。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sz w:val="28"/>
          <w:szCs w:val="28"/>
        </w:rPr>
        <w:t xml:space="preserve"> </w:t>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供应商应自行承担所有与参加投标有关的费用。不论投标的结果如何，</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（以下简称采购代理机构）和</w:t>
      </w:r>
      <w:r>
        <w:rPr>
          <w:rFonts w:hint="eastAsia" w:ascii="仿宋" w:hAnsi="仿宋" w:eastAsia="仿宋" w:cs="仿宋"/>
          <w:sz w:val="28"/>
          <w:szCs w:val="28"/>
        </w:rPr>
        <w:t xml:space="preserve">淮安市清江浦区环卫事业管理服务中心</w:t>
      </w:r>
      <w:r>
        <w:rPr>
          <w:rFonts w:hint="eastAsia" w:ascii="仿宋" w:hAnsi="仿宋" w:eastAsia="仿宋"/>
          <w:sz w:val="28"/>
          <w:szCs w:val="28"/>
        </w:rPr>
        <w:t xml:space="preserve">（以下简称采购人）在任何情况下均无义务和责任承担这些费用。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 </w:t>
      </w: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招标代理费按照苏政采协〔2024〕20号收费标准执行</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此费用须包含在投标报价中，但无须单独列项计取，</w:t>
      </w:r>
      <w:r>
        <w:rPr>
          <w:rFonts w:hint="eastAsia" w:ascii="仿宋" w:hAnsi="仿宋" w:eastAsia="仿宋"/>
          <w:sz w:val="28"/>
          <w:szCs w:val="28"/>
        </w:rPr>
        <w:t xml:space="preserve">供应商在报价时综合考虑，由中标供应商在领取成交通知书前向代理机构一次性付清。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 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6.3 合同文本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6.4评标方法与评标标准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可主动或在解答供应商提出的澄清问题时对招标文件用更正公告的方式进行修正。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7.2对招标文件的更正将在淮安市政府采购网进行公告，更正公告将作为招标文件的组成部分，对所有参加本次投标的供应商都具有约束力。</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7.3为使供应商有足够的时间按招标文件的更正要求修正投标文件，</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有权按照相关法定的要求推迟投标截止时间和开标日期。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462564073"/>
      <w:r/>
      <w:bookmarkStart w:id="1" w:name="_Toc16938530"/>
      <w:r/>
      <w:bookmarkStart w:id="2" w:name="_Toc513029214"/>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供应商提交的投标文件以及供应商与采购人就有关投标的所有来往通知、函件和文件均应使用简体中文。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请供应商根据本招标文件的要求在指定模块中上传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10.证明供应商及投标标的符合招标文件规定的文件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供应商应按照招标文件要求提交证明文件，证明其及投标标的符合招标文件规定。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供应商应按照招标文件规定格式填报投标分项报价表。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供应商需对招标文件中的技术要求与商务要求逐项作出响应或偏离，并说明原因。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供应商可在投标文件中提供认为需要的其他技术文件或说明。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供应商需根据招标文件要求提供培训计划。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供应商需根据招标文件要求提供所投标的的主要组成部分、功能设计、实现思路及关键技术等。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14577359"/>
      <w:r/>
      <w:bookmarkStart w:id="5" w:name="_Toc49090510"/>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供应商应按照招标文件中提供的格式完整、正确填写投标函、开标一览表。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 本项目评标标准中的方案部分采用明标方式进行评审。</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供应商应当按照《操作手册》规定，在投标截止时间前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供应商上传的电子投标文件内容不清楚或不清晰的（含扫描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供应商上传电子投标文件的时间不得迟于投标邀请中规定的截止时间。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代理公司可以按第7条规定，通过修改招标文件有权酌情延长投标文件接收截止时间。在此情况下，供应商的所有权利和义务以及供应商受制约的截止日期均应以延长后新的截止日期为准。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 供应商在上传电子投标文件后可以对其修改或撤回，但这种修改和撤回，必须在规定的开标时间之前，具体操作方法见《操作手册》。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供应商不得在开标时间以后修改电子投标文件。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供应商不得在提交电子投标文件截止时间起至投标有效期满前撤回电子投标文件。</w:t>
      </w:r>
      <w:r/>
    </w:p>
    <w:p>
      <w:p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五、开标及评标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代理公司将在招标公告中规定的时间和地点组织开标。供应商应当按照《操作手册》规定，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开标仪式由代理公司组织。苏采云系统将自动对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并宣布各供应商名称和投标价格。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供应商在开标过程中涉及到的投标文件解密、开标结果确认等工作，应按照《操作手册》规定执行。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供应商如果对开标过程和开标记录有疑义，应当根据《操作手册》规定提出，如苏采云系统中《开标记录表》宣布后5分钟内未提出的，视同认可开标结果。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20823303"/>
      <w:r/>
      <w:bookmarkStart w:id="10" w:name="_Toc513029231"/>
      <w:r/>
      <w:bookmarkStart w:id="11" w:name="_Toc16938547"/>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开标后，代理公司将立即组织评标委员会（以下简称评委会）进行评标。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凡是与审查、澄清、评价和比较投标的有关资料以及授标建议等，采购人、评委、代理公司均不得向供应商或与评标无关的其他人员透露。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在评标过程中，供应商不得以任何行为影响评标过程，否则其投标文件将被作为无效投标文件。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代理公司和评标委员会不向未中标的供应商解释未中标原因，也不公布评标过程中的相关细节。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采用综合评分法的项目，未中标的供应商可于中标结果公告期限届满之日起通过苏采云系统查看自己的评审得分及排序情况。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20823304"/>
      <w:r/>
      <w:bookmarkStart w:id="13" w:name="_Toc16938548"/>
      <w:r/>
      <w:bookmarkStart w:id="14" w:name="_Toc513029232"/>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评标期间，评委会对投标文件中含义不明确、同类问题表述不一致或者有明显文字和计算错误的内容，有权要求供应商作出必要的澄清、说明或者补正。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w:t>
      </w:r>
      <w:r>
        <w:rPr>
          <w:rFonts w:hint="eastAsia" w:ascii="仿宋" w:hAnsi="仿宋" w:eastAsia="仿宋"/>
          <w:sz w:val="28"/>
          <w:szCs w:val="28"/>
        </w:rPr>
        <w:t xml:space="preserve">供应商</w:t>
      </w:r>
      <w:r>
        <w:rPr>
          <w:rFonts w:ascii="仿宋" w:hAnsi="仿宋" w:eastAsia="仿宋"/>
          <w:sz w:val="28"/>
          <w:szCs w:val="28"/>
        </w:rPr>
        <w:t xml:space="preserve">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接到评委会澄清、说明和补正要求的供应商如未按规定做出澄清、说明和补正，其风险由供应商自行承担。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如果投标文件实质上没有响应招标文件的要求，评委会将予以拒绝，供应商不得通过修改或撤销不合要求的偏离或保留而使其投标成为实质性响应的投标。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苏采云系统告知供应商</w:t>
      </w:r>
      <w:r>
        <w:rPr>
          <w:rFonts w:ascii="仿宋" w:hAnsi="仿宋" w:eastAsia="仿宋"/>
          <w:sz w:val="28"/>
          <w:szCs w:val="28"/>
        </w:rPr>
        <w:t xml:space="preserve">，</w:t>
      </w:r>
      <w:r>
        <w:rPr>
          <w:rFonts w:hint="eastAsia" w:ascii="仿宋" w:hAnsi="仿宋" w:eastAsia="仿宋"/>
          <w:sz w:val="28"/>
          <w:szCs w:val="28"/>
        </w:rPr>
        <w:t xml:space="preserve">调整后的价格应对供应商具有约束力。如果供应商不接受修正后的价格，则其投标将被拒绝。</w:t>
      </w:r>
      <w:r/>
    </w:p>
    <w:p>
      <w:pPr>
        <w:ind w:firstLine="560"/>
        <w:spacing w:line="520" w:lineRule="exact"/>
        <w:rPr>
          <w:rFonts w:hint="eastAsia" w:ascii="仿宋" w:hAnsi="仿宋" w:eastAsia="仿宋"/>
          <w:sz w:val="28"/>
          <w:szCs w:val="28"/>
        </w:rPr>
      </w:pPr>
      <w:r/>
      <w:bookmarkStart w:id="18" w:name="_Toc16938550"/>
      <w:r/>
      <w:bookmarkStart w:id="19" w:name="_Toc20823306"/>
      <w:r/>
      <w:bookmarkStart w:id="20"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w:t>
      </w:r>
      <w:r>
        <w:rPr>
          <w:rFonts w:hint="eastAsia" w:ascii="仿宋" w:hAnsi="仿宋" w:eastAsia="仿宋"/>
          <w:sz w:val="28"/>
          <w:szCs w:val="28"/>
        </w:rPr>
        <w:t xml:space="preserve">供应商</w:t>
      </w:r>
      <w:r>
        <w:rPr>
          <w:rFonts w:ascii="仿宋" w:hAnsi="仿宋" w:eastAsia="仿宋"/>
          <w:sz w:val="28"/>
          <w:szCs w:val="28"/>
        </w:rPr>
        <w:t xml:space="preserve">，其他投标无效。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参加同一合同项下投标的，按一家</w:t>
      </w:r>
      <w:r>
        <w:rPr>
          <w:rFonts w:hint="eastAsia" w:ascii="仿宋" w:hAnsi="仿宋" w:eastAsia="仿宋"/>
          <w:sz w:val="28"/>
          <w:szCs w:val="28"/>
        </w:rPr>
        <w:t xml:space="preserve">供应商</w:t>
      </w:r>
      <w:r>
        <w:rPr>
          <w:rFonts w:ascii="仿宋" w:hAnsi="仿宋" w:eastAsia="仿宋"/>
          <w:sz w:val="28"/>
          <w:szCs w:val="28"/>
        </w:rPr>
        <w:t xml:space="preserve">计算，评审后得分最高的同品牌</w:t>
      </w:r>
      <w:r>
        <w:rPr>
          <w:rFonts w:hint="eastAsia" w:ascii="仿宋" w:hAnsi="仿宋" w:eastAsia="仿宋"/>
          <w:sz w:val="28"/>
          <w:szCs w:val="28"/>
        </w:rPr>
        <w:t xml:space="preserve">供应商</w:t>
      </w:r>
      <w:r>
        <w:rPr>
          <w:rFonts w:ascii="仿宋" w:hAnsi="仿宋" w:eastAsia="仿宋"/>
          <w:sz w:val="28"/>
          <w:szCs w:val="28"/>
        </w:rPr>
        <w:t xml:space="preserve">获得</w:t>
      </w:r>
      <w:r>
        <w:rPr>
          <w:rFonts w:hint="eastAsia" w:ascii="仿宋" w:hAnsi="仿宋" w:eastAsia="仿宋"/>
          <w:sz w:val="28"/>
          <w:szCs w:val="28"/>
        </w:rPr>
        <w:t xml:space="preserve">中标供应商</w:t>
      </w:r>
      <w:r>
        <w:rPr>
          <w:rFonts w:ascii="仿宋" w:hAnsi="仿宋" w:eastAsia="仿宋"/>
          <w:sz w:val="28"/>
          <w:szCs w:val="28"/>
        </w:rPr>
        <w:t xml:space="preserve">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hint="eastAsia" w:ascii="仿宋" w:hAnsi="仿宋" w:eastAsia="仿宋"/>
          <w:sz w:val="28"/>
          <w:szCs w:val="28"/>
        </w:rPr>
        <w:t xml:space="preserve">供应商</w:t>
      </w:r>
      <w:r>
        <w:rPr>
          <w:rFonts w:ascii="仿宋" w:hAnsi="仿宋" w:eastAsia="仿宋"/>
          <w:sz w:val="28"/>
          <w:szCs w:val="28"/>
        </w:rPr>
        <w:t xml:space="preserve">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w:t>
      </w:r>
      <w:r>
        <w:rPr>
          <w:rFonts w:hint="eastAsia" w:ascii="仿宋" w:hAnsi="仿宋" w:eastAsia="仿宋"/>
          <w:sz w:val="28"/>
          <w:szCs w:val="28"/>
        </w:rPr>
        <w:t xml:space="preserve">供应商</w:t>
      </w:r>
      <w:r>
        <w:rPr>
          <w:rFonts w:ascii="仿宋" w:hAnsi="仿宋" w:eastAsia="仿宋"/>
          <w:sz w:val="28"/>
          <w:szCs w:val="28"/>
        </w:rPr>
        <w:t xml:space="preserve">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供应商在开、评标全过程中应保持通讯畅通，及时登录苏采云系统查阅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并安排专人与代理公司及评标委员会联系。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513029235"/>
      <w:r/>
      <w:bookmarkStart w:id="22" w:name="_Toc20823307"/>
      <w:r/>
      <w:bookmarkStart w:id="23" w:name="_Toc16938551"/>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供应商在苏采云系统规定的时间内未成功解密电子投标文件的。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供应商未按照招标文件要求上传电子投标文件的。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同一供应商提交两个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供应商不具备招标文件中规定资格要求的。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供应商的报价超过了采购预算或最高限价的。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评标委员会按照苏财购〔2025〕62号文件要求启动异常低价投标（响应)审查的情形和具体要求，包括:</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(一)评审过程中出现下列情形之一的，评审委员会应当启动异常低价投标(响应)审查程序: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1.投标(响应)报价低于采购项目预算50%的，即投标(响应)报价&lt;采购项目预算x50%;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2.投标(响应)报价低于采购项目最高限价45%的，即投标(响应)报价&lt;采购项目最高限价x45%;</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3.评审委员会认定的供应商报价过低、有可能影响产品质量或者不能诚信履约的其他情形。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其他法律、法规及本招标文件规定的属无效投标的情形。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六、定标</w:t>
      </w:r>
      <w:bookmarkEnd w:id="24"/>
      <w:r/>
      <w:r/>
    </w:p>
    <w:p>
      <w:pPr>
        <w:spacing w:line="520" w:lineRule="exact"/>
        <w:rPr>
          <w:rFonts w:hint="eastAsia"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代理公司将在“江苏省政府采购网”、“淮安市政府采购网”发布中标公告，公告期限为1个工作日。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若有充分证据证明，中标供应商出现下列情况之一的，一经查实，将被取消中标资格：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向采购人、代理公司行贿或者提供其他不正当利益的。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视为供应商</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27.5.1不同供应商的投标文件由同一单位或者个人编制；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27.5.2不同供应商委托同一单位或者个人办理投标事宜；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不同供应商的投标文件载明的项目管理成员或者联系人员为同一人；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27.5.4不同供应商的投标文件异常一致或者投标报价呈规律性差异；</w:t>
      </w:r>
      <w:r/>
    </w:p>
    <w:p>
      <w:pPr>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28.5 质疑函应当包括以下主要内容，附上相关证明材料。否则，采购人不予受理。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olor w:val="auto"/>
          <w:sz w:val="28"/>
          <w:szCs w:val="28"/>
        </w:rPr>
        <w:t xml:space="preserve">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28.7 对于内容、格式符合规定的质疑函，采购人将在七个工作日内以书面形式作出答复，但质疑答复的内容不涉及商业秘密。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color w:val="auto"/>
          <w:sz w:val="28"/>
          <w:szCs w:val="28"/>
        </w:rPr>
        <w:t xml:space="preserve">28.8 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sz w:val="28"/>
          <w:szCs w:val="28"/>
        </w:rPr>
        <w:t xml:space="preserve">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b/>
          <w:sz w:val="32"/>
          <w:szCs w:val="32"/>
        </w:rPr>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七、授予合同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20823309"/>
      <w:r/>
      <w:bookmarkStart w:id="34" w:name="_Toc513029237"/>
      <w:r/>
      <w:bookmarkStart w:id="35" w:name="_Toc16938553"/>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中标供应商应当在中标通知书发出之日起三十日内，按照招标文件确定的事项与采购人签订政府采购合同。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招标文件、中标供应商的投标文件及招标过程中有关澄清、承诺文件均应作为合同附件。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20"/>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bookmarkEnd w:id="33"/>
      <w:r/>
      <w:bookmarkEnd w:id="34"/>
      <w:r/>
      <w:bookmarkEnd w:id="35"/>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p>
    <w:p>
      <w:pPr>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36"/>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35.2 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36"/>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36. 履约资金扶持政策</w:t>
      </w:r>
      <w:r/>
    </w:p>
    <w:p>
      <w:pPr>
        <w:pStyle w:val="936"/>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936"/>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36.2 有融资贷款需求的中标供应商，与采购人在苏采云【合同在线签订】模块中进行合同在线签订时，【账户信息完善】的“是否融资”一栏中需选择“是”，同时完善收款账号信息和合同补充协议（融资账号）。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696"/>
        <w:ind w:firstLine="560"/>
        <w:spacing w:line="360" w:lineRule="auto"/>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pStyle w:val="696"/>
        <w:ind w:firstLine="482"/>
        <w:spacing w:line="360" w:lineRule="auto"/>
        <w:rPr>
          <w:rFonts w:hint="eastAsia"/>
          <w:sz w:val="24"/>
          <w:szCs w:val="24"/>
        </w:rPr>
      </w:pPr>
      <w:r>
        <w:rPr>
          <w:rFonts w:hint="eastAsia" w:hAnsi="宋体"/>
          <w:b/>
          <w:bCs/>
          <w:sz w:val="24"/>
          <w:szCs w:val="24"/>
        </w:rPr>
        <w:t xml:space="preserve">重要提示：为防止围标串标和低价恶意竞标的行为，评审时如发现投标供应商的报价明显高于市场价格或低于成本价，投标供应商必须按照评审小组的要求做出书面说明并提供相关证明材料。如投标供应商不能合理说明原因并提供相关证明材料的，评审小组将对其投标作无效处理，同时由采购组织机构向同级财政部门通报情况，视情将其列入不良供应商名单。</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四</w:t>
      </w:r>
      <w:r>
        <w:rPr>
          <w:rFonts w:hint="eastAsia" w:ascii="仿宋" w:hAnsi="仿宋" w:eastAsia="仿宋"/>
          <w:sz w:val="28"/>
        </w:rPr>
        <w:t xml:space="preserve">、具体标准:</w:t>
      </w:r>
      <w:r/>
    </w:p>
    <w:tbl>
      <w:tblPr>
        <w:tblStyle w:val="686"/>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125"/>
        <w:gridCol w:w="6328"/>
        <w:gridCol w:w="788"/>
      </w:tblGrid>
      <w:tr>
        <w:trPr>
          <w:jc w:val="center"/>
          <w:trHeight w:val="1123"/>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类别</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评审项</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jc w:val="center"/>
          <w:trHeight w:val="705"/>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指标</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满足招标文件要求且报价最低的供应商价格为评标基准价，其价格分为满分。其他供应商的价格分按照下列公式计算（小数点保留两位）:</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r>
      <w:tr>
        <w:trPr>
          <w:jc w:val="center"/>
          <w:trHeight w:val="705"/>
        </w:trPr>
        <w:tc>
          <w:tcPr>
            <w:tcBorders>
              <w:top w:val="single" w:color="auto" w:sz="4" w:space="0"/>
              <w:left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设备的技术性能情况（</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参数</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技术参数满足要求得1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分，</w:t>
            </w:r>
            <w:r>
              <w:rPr>
                <w:rFonts w:hint="eastAsia" w:ascii="仿宋" w:hAnsi="仿宋" w:eastAsia="仿宋" w:cs="仿宋"/>
                <w:sz w:val="28"/>
                <w:szCs w:val="28"/>
                <w:lang w:eastAsia="zh-CN"/>
              </w:rPr>
              <w:t xml:space="preserve">★</w:t>
            </w:r>
            <w:r>
              <w:rPr>
                <w:rFonts w:hint="eastAsia" w:ascii="仿宋" w:hAnsi="仿宋" w:eastAsia="仿宋" w:cs="仿宋"/>
                <w:color w:val="000000"/>
                <w:sz w:val="24"/>
                <w:szCs w:val="24"/>
              </w:rPr>
              <w:t xml:space="preserve">重要参数偏离一项扣2分，其他参数偏离一项扣1分，扣完为止，</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4"/>
                <w:szCs w:val="24"/>
              </w:rPr>
              <w:t xml:space="preserve">重要参数需</w:t>
            </w:r>
            <w:r>
              <w:rPr>
                <w:rFonts w:hint="eastAsia" w:ascii="仿宋" w:hAnsi="仿宋" w:eastAsia="仿宋" w:cs="仿宋"/>
                <w:color w:val="000000"/>
                <w:sz w:val="24"/>
                <w:szCs w:val="24"/>
              </w:rPr>
              <w:t xml:space="preserve">按技术参数内要求</w:t>
            </w:r>
            <w:r>
              <w:rPr>
                <w:rFonts w:hint="eastAsia" w:ascii="仿宋" w:hAnsi="仿宋" w:eastAsia="仿宋" w:cs="仿宋"/>
                <w:color w:val="000000"/>
                <w:sz w:val="24"/>
                <w:szCs w:val="24"/>
                <w:highlight w:val="none"/>
              </w:rPr>
              <w:t xml:space="preserve">提供国家认可的检测单位出具的标有CMA标志的检测报告作为佐证，否则视作偏离。</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0</w:t>
            </w:r>
            <w:r/>
          </w:p>
        </w:tc>
      </w:tr>
      <w:tr>
        <w:trPr>
          <w:jc w:val="center"/>
          <w:trHeight w:val="705"/>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方案部分（4</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技术能力</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4"/>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根据供应商所投产品生产工艺情况及标准化程度的响应情况由专家进行打分。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品生产工艺情况及标准化程度内容全面、描述详细，标准化要求能够完全紧密结合项目实际，能够体现与工艺的合理性，优于采购需求的，得5分；方案工艺情况有具体内容、标准化程度符合项目实际，可以实现采购需求的，得3分；方案工艺情况、标准化程度一般，得2分；方案工艺情况有内容、有标准化，但不具体，得1分；没有内容不得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2.根据供应商对投标产品主要功能性部件及设备整体性能详细描述，提供的相关技术资料由专家进行打分。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主要功能性部件及设备整体性能详细描述内容全</w:t>
            </w:r>
            <w:r>
              <w:rPr>
                <w:rFonts w:hint="eastAsia" w:ascii="仿宋" w:hAnsi="仿宋" w:eastAsia="仿宋" w:cs="仿宋"/>
                <w:color w:val="auto"/>
                <w:sz w:val="24"/>
                <w:szCs w:val="24"/>
              </w:rPr>
              <w:t xml:space="preserve">面、性能先进性佐证材料齐全，配置要求能够完全紧密结合项目实际，液压和电控原理明晰，优于采购需求的，得5分；方案配置有具体内容、有性能先进性佐证材料，配置能够结合项目实际，可以实现采购需求的，得3分；方案配置内容、先进性佐证、配置一般，得2分；方案配置有内容、有佐证，但不具体，得1分</w:t>
            </w: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整体组织实施方案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分；方案较全、基本满足需求的得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分；方案简单、针对性一般得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送货安装及调试方案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分；方案较全、基本满足需求的得 </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分；方案简单、针对性一般得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验收及培训方案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有明确验收标准、培训内容、培训计划，且完整齐全、针对性强优于需求的得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分；较全、基本满足得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分；简单一般得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质量控制方案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有完善质量保证体系和控制措施，且完整齐全、针对性强优于需求的得 </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分；较全、基本满足得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分；简单一般得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en-US" w:eastAsia="zh-CN"/>
              </w:rPr>
              <w:t xml:space="preserve">交付验收方案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方案完整规范，交付计划清晰、验收标准明确、验收流程详细、验收资料齐全、验收组织与人员安排到位，措施齐全、针对性强，完全满足并优于采购需求的得5分；方案较完整，有交付安排、有验收依据、有验收流程，措施较齐全、针对性较强，基本满足采购需求的得3分；方案内容简单，仅提供基本框架，缺少关键细节，措施一般、针对性一般，勉强满足要求；得1分；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numPr>
                <w:ilvl w:val="0"/>
                <w:numId w:val="0"/>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应急方案</w:t>
            </w:r>
            <w:r/>
          </w:p>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根据各投标人项目实施和售后服务过程中的各类安全事故应急和其他应急方案情况由专家进行打分。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方案完整、措施齐全、针对性强且优于采购需求的得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分，方案较全、措施较齐全、针对性较强基本满足采购需求的得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分；方案简单、措施、针对性一般得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分；未提供方案不得分。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根据投标人书面承诺的售后质保期限进行评分，不重复计分，以承诺的最高质保期限对应分值计分，</w:t>
            </w:r>
            <w:r>
              <w:rPr>
                <w:rFonts w:hint="eastAsia" w:ascii="仿宋" w:hAnsi="仿宋" w:eastAsia="仿宋" w:cs="仿宋"/>
                <w:color w:val="000000"/>
                <w:sz w:val="24"/>
                <w:szCs w:val="24"/>
                <w:lang w:val="en-US" w:eastAsia="zh-CN"/>
              </w:rPr>
              <w:t xml:space="preserve">最高得3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注：货物须提供不少于</w:t>
            </w: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年的售后质保期，该要求为最低强制性标准，未满足者按无效响应处理。投标人需提供书面质保承诺函（加盖公章）。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931"/>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商务部分（1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投标供应商自2022年1月1日以来（以合同签订时间为准）承担过类似垃圾压缩机采购项目的业绩，每个有效业绩得1分；最高得3分。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同时</w:t>
            </w:r>
            <w:r>
              <w:rPr>
                <w:rFonts w:hint="eastAsia" w:ascii="仿宋" w:hAnsi="仿宋" w:eastAsia="仿宋" w:cs="仿宋"/>
                <w:color w:val="000000"/>
                <w:sz w:val="24"/>
                <w:szCs w:val="24"/>
              </w:rPr>
              <w:t xml:space="preserve">提供业绩合同和中标通知书扫描件加盖单位公章，否则不得分。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r>
      <w:tr>
        <w:trPr>
          <w:jc w:val="center"/>
          <w:trHeight w:val="530"/>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管理</w:t>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体系</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投标人具有质量管理体系认证、环境管理体系认证、职业健康安全管理体系认证、能源管理体系认证,每提供一项得0.5分，最高得2分。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提供以上证书扫描件加盖公章，并要求可在中国国家认证认可监督管理委员会官网认证查询系统内查询到相关证书信息提供截图证明，否则不得分。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r>
      <w:tr>
        <w:trPr>
          <w:jc w:val="center"/>
          <w:trHeight w:val="1484"/>
        </w:trPr>
        <w:tc>
          <w:tcPr>
            <w:tcBorders>
              <w:left w:val="single" w:color="auto" w:sz="4" w:space="0"/>
              <w:right w:val="single" w:color="auto" w:sz="4" w:space="0"/>
            </w:tcBorders>
            <w:tcW w:w="1341" w:type="dxa"/>
            <w:vAlign w:val="center"/>
            <w:vMerge w:val="continue"/>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rPr>
              <w:t xml:space="preserve">供应商资信</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5"/>
              </w:numPr>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科技水平：</w:t>
            </w:r>
            <w:bookmarkStart w:id="36" w:name="OLE_LINK2"/>
            <w:r>
              <w:rPr>
                <w:rFonts w:hint="eastAsia" w:ascii="仿宋" w:hAnsi="仿宋" w:eastAsia="仿宋" w:cs="仿宋"/>
                <w:color w:val="000000"/>
                <w:sz w:val="24"/>
                <w:szCs w:val="24"/>
                <w:highlight w:val="none"/>
              </w:rPr>
              <w:t xml:space="preserve">投标单位所投产品具有相</w:t>
            </w:r>
            <w:r>
              <w:rPr>
                <w:rFonts w:hint="eastAsia" w:ascii="仿宋" w:hAnsi="仿宋" w:eastAsia="仿宋" w:cs="仿宋"/>
                <w:color w:val="auto"/>
                <w:sz w:val="24"/>
                <w:szCs w:val="24"/>
                <w:highlight w:val="none"/>
              </w:rPr>
              <w:t xml:space="preserve">关的技术专利证书的得3分。(提供专利查询官网内对应专利摘要、配图等证明该专利属于投标产品)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bookmarkEnd w:id="36"/>
            <w:r/>
            <w:r/>
          </w:p>
          <w:p>
            <w:pPr>
              <w:numPr>
                <w:ilvl w:val="0"/>
                <w:numId w:val="5"/>
              </w:num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研发水平：具有环卫设备或装备获得省级（含）以上高新技术企业研发中心证书的得3分；具有省级（含）以上科技型中小企业证书的得3分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本项最高得6分。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3、人才水平：投标人拟派项目负责人有类似项目经验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提供合同或验收证明等材料）</w:t>
            </w:r>
            <w:r>
              <w:rPr>
                <w:rFonts w:hint="eastAsia" w:ascii="仿宋" w:hAnsi="仿宋" w:eastAsia="仿宋" w:cs="仿宋"/>
                <w:color w:val="000000"/>
                <w:sz w:val="24"/>
                <w:szCs w:val="24"/>
                <w:highlight w:val="none"/>
              </w:rPr>
              <w:t xml:space="preserve">且具有高级技术职称的得2分，中级技术职称的得1 分。提供</w:t>
            </w:r>
            <w:r>
              <w:rPr>
                <w:rFonts w:hint="eastAsia" w:ascii="仿宋" w:hAnsi="仿宋" w:eastAsia="仿宋" w:cs="仿宋"/>
                <w:color w:val="000000"/>
                <w:sz w:val="24"/>
                <w:szCs w:val="24"/>
                <w:highlight w:val="none"/>
                <w:lang w:val="en-US" w:eastAsia="zh-CN"/>
              </w:rPr>
              <w:t xml:space="preserve">拟派项目负责人</w:t>
            </w:r>
            <w:r>
              <w:rPr>
                <w:rFonts w:hint="eastAsia" w:ascii="仿宋" w:hAnsi="仿宋" w:eastAsia="仿宋" w:cs="仿宋"/>
                <w:color w:val="000000"/>
                <w:sz w:val="24"/>
                <w:szCs w:val="24"/>
                <w:highlight w:val="none"/>
              </w:rPr>
              <w:t xml:space="preserve">证书扫描件、近3个月内任意一个月的社保证明</w:t>
            </w:r>
            <w:r>
              <w:rPr>
                <w:rFonts w:hint="eastAsia" w:ascii="仿宋" w:hAnsi="仿宋" w:eastAsia="仿宋" w:cs="仿宋"/>
                <w:color w:val="000000"/>
                <w:sz w:val="24"/>
                <w:szCs w:val="24"/>
                <w:highlight w:val="none"/>
                <w:lang w:val="en-US" w:eastAsia="zh-CN"/>
              </w:rPr>
              <w:t xml:space="preserve">并加</w:t>
            </w:r>
            <w:r>
              <w:rPr>
                <w:rFonts w:hint="eastAsia" w:ascii="仿宋" w:hAnsi="仿宋" w:eastAsia="仿宋" w:cs="仿宋"/>
                <w:color w:val="000000"/>
                <w:sz w:val="24"/>
                <w:szCs w:val="24"/>
                <w:highlight w:val="none"/>
              </w:rPr>
              <w:t xml:space="preserve">盖投标人公章上传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本项最高得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注：投标文件中应附上述</w:t>
            </w:r>
            <w:r>
              <w:rPr>
                <w:rFonts w:hint="eastAsia" w:ascii="仿宋" w:hAnsi="仿宋" w:eastAsia="仿宋" w:cs="仿宋"/>
                <w:color w:val="000000"/>
                <w:sz w:val="24"/>
                <w:szCs w:val="24"/>
                <w:highlight w:val="none"/>
                <w:lang w:val="en-US" w:eastAsia="zh-CN"/>
              </w:rPr>
              <w:t xml:space="preserve">合同或验收证明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证书等证明资料扫描件</w:t>
            </w:r>
            <w:r>
              <w:rPr>
                <w:rFonts w:hint="eastAsia" w:ascii="仿宋" w:hAnsi="仿宋" w:eastAsia="仿宋" w:cs="仿宋"/>
                <w:color w:val="000000"/>
                <w:sz w:val="24"/>
                <w:szCs w:val="24"/>
                <w:highlight w:val="none"/>
                <w:lang w:val="en-US" w:eastAsia="zh-CN"/>
              </w:rPr>
              <w:t xml:space="preserve">并加盖电子签章</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w:t>
            </w:r>
            <w:r/>
          </w:p>
        </w:tc>
      </w:tr>
    </w:tbl>
    <w:p>
      <w:r/>
      <w:r/>
    </w:p>
    <w:p>
      <w:pPr>
        <w:pStyle w:val="693"/>
        <w:rPr>
          <w:rFonts w:hint="eastAsia" w:ascii="仿宋" w:hAnsi="仿宋" w:eastAsia="仿宋"/>
          <w:sz w:val="28"/>
        </w:rPr>
      </w:pPr>
      <w:r>
        <w:rPr>
          <w:rFonts w:hint="eastAsia" w:ascii="仿宋" w:hAnsi="仿宋" w:eastAsia="仿宋"/>
          <w:sz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bCs/>
          <w:sz w:val="36"/>
          <w:szCs w:val="36"/>
        </w:rPr>
      </w:pPr>
      <w:r>
        <w:rPr>
          <w:rFonts w:hint="eastAsia" w:ascii="仿宋" w:hAnsi="仿宋" w:eastAsia="仿宋"/>
          <w:b/>
          <w:sz w:val="36"/>
          <w:szCs w:val="36"/>
        </w:rPr>
        <w:t xml:space="preserve">第四章  合同格式及条款</w:t>
      </w:r>
      <w:r/>
    </w:p>
    <w:p>
      <w:pPr>
        <w:ind w:firstLine="560"/>
        <w:spacing w:line="360" w:lineRule="auto"/>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pStyle w:val="696"/>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一、设备采购合同</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甲方：</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乙方： </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一、采购清单详见下表</w:t>
      </w:r>
      <w:r/>
    </w:p>
    <w:tbl>
      <w:tblPr>
        <w:tblStyle w:val="686"/>
        <w:tblW w:w="4979" w:type="pct"/>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bookmarkStart w:id="37" w:name="_Hlk37262289"/>
            <w:r>
              <w:rPr>
                <w:rFonts w:hint="eastAsia" w:ascii="仿宋" w:hAnsi="仿宋" w:eastAsia="仿宋" w:cs="仿宋"/>
                <w:color w:val="auto"/>
                <w:sz w:val="24"/>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单价（元）</w:t>
            </w:r>
            <w:r/>
          </w:p>
        </w:tc>
        <w:tc>
          <w:tcPr>
            <w:tcBorders>
              <w:top w:val="single" w:color="auto" w:sz="4"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合计（元）</w:t>
            </w:r>
            <w:r/>
          </w:p>
        </w:tc>
        <w:tc>
          <w:tcPr>
            <w:tcBorders>
              <w:top w:val="single" w:color="auto" w:sz="4" w:space="0"/>
              <w:left w:val="single" w:color="auto" w:sz="4" w:space="0"/>
              <w:bottom w:val="single" w:color="auto" w:sz="2"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备注</w:t>
            </w:r>
            <w:bookmarkEnd w:id="37"/>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二、付款方式</w:t>
      </w:r>
      <w:r/>
    </w:p>
    <w:p>
      <w:pPr>
        <w:pStyle w:val="696"/>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分批次完成设备安装验收，每批次验收合格后，依据合格台数一次性付清该批次货款。</w:t>
      </w:r>
      <w:r/>
    </w:p>
    <w:p>
      <w:pPr>
        <w:pStyle w:val="696"/>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三、交货时间及交货地点</w:t>
      </w:r>
      <w:r/>
    </w:p>
    <w:p>
      <w:pPr>
        <w:ind w:firstLine="560"/>
        <w:spacing w:line="360" w:lineRule="auto"/>
        <w:tabs>
          <w:tab w:val="left" w:pos="420" w:leader="none"/>
        </w:tabs>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交货时间：合同签订后，中标供应商接到采购人供货通知15日内供货安装调试到位并交付采购人使用。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供货数量以采购人通知为准，实行分批供货，不一次性完成全部交付。）</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交货地点：甲方指定地点。</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四、乙方保证向甲方提供的设备满足中国国家标准及相关行业标准。</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六、设备安装后，乙方应配合甲方按厂方技术参数、国家标准等进行质量验收。若有歧义，甲方有权委托中国有资格的单位对该设备进行质量检测，费用由乙方承担。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sz w:val="28"/>
          <w:szCs w:val="28"/>
        </w:rPr>
        <w:t xml:space="preserve">七、乙方所供设备如验收不合格，根据甲方的要求，乙方必须无条件换货或</w:t>
      </w:r>
      <w:r>
        <w:rPr>
          <w:rFonts w:hint="eastAsia" w:ascii="仿宋" w:hAnsi="仿宋" w:eastAsia="仿宋" w:cs="仿宋"/>
          <w:color w:val="auto"/>
          <w:sz w:val="28"/>
          <w:szCs w:val="28"/>
        </w:rPr>
        <w:t xml:space="preserve">退货，由此引起的一切损失由乙方承担。</w:t>
      </w:r>
      <w:r/>
    </w:p>
    <w:p>
      <w:pPr>
        <w:ind w:firstLine="560"/>
        <w:spacing w:line="360" w:lineRule="auto"/>
        <w:tabs>
          <w:tab w:val="left" w:pos="420" w:leader="none"/>
        </w:tabs>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十、服务条款</w:t>
      </w:r>
      <w:r/>
    </w:p>
    <w:p>
      <w:pPr>
        <w:pStyle w:val="761"/>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1.乙方免费提前为甲方提供设备安装图纸，并充分协助甲方做好准备工作（如必要的话）。</w:t>
      </w:r>
      <w:r/>
    </w:p>
    <w:p>
      <w:pPr>
        <w:pStyle w:val="761"/>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2.设备安装时，乙方负责设备的免费安装和调试，乙方必须事先与甲方联系，否则引起的一切责任由乙方承担。</w:t>
      </w:r>
      <w:r/>
    </w:p>
    <w:p>
      <w:pPr>
        <w:pStyle w:val="761"/>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3.设备安装、调试结束后，甲方对设备试用后进行验收（时间由甲、乙双方商定），乙方免费派工程师到达现场协助验收工作。保修期自甲方验收合格之日算起，保修期外故障待修复后只收配件费，免收上门费、人工费。</w:t>
      </w:r>
      <w:r/>
    </w:p>
    <w:p>
      <w:pPr>
        <w:pStyle w:val="761"/>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4.上述设备免费保修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年，保修期自设备验收合格之起计算，保修期外乙方对本设备终身负责维修。</w:t>
      </w:r>
      <w:r/>
    </w:p>
    <w:p>
      <w:pPr>
        <w:pStyle w:val="761"/>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pStyle w:val="761"/>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6.保修期内每年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次定期维护，并经甲方签字确认，留档备查。</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color w:val="auto"/>
          <w:sz w:val="28"/>
          <w:szCs w:val="28"/>
        </w:rPr>
        <w:t xml:space="preserve">7.无论在保修期内还是保修期外，乙方必须上门维修，</w:t>
      </w:r>
      <w:r>
        <w:rPr>
          <w:rFonts w:hint="eastAsia" w:ascii="仿宋" w:hAnsi="仿宋" w:eastAsia="仿宋" w:cs="仿宋"/>
          <w:sz w:val="28"/>
          <w:szCs w:val="28"/>
        </w:rPr>
        <w:t xml:space="preserve">乙方工程师至甲方维修本设备，必须事先与甲方取得联系，并做相应登记，否则引起的一切责任由乙方负责。</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8.乙方需在交货后五个工作日内免费提供全套资料并加盖公章，含产品合格证、操作手册等，如技术资料不全，甲方有权不支付货款或退货，因此产生的损失由乙方自行承担。</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left="600" w:hanging="182"/>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十一、违约责任</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1.自本协议生效之日起，双方应严格依约履行。若任何一方违反本协议规定，应赔偿由此给其他方造成的损失。</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如果乙方没有按照合同规定时间交货的，每逾期一日，保修期延长十天，人力不可抗因素除外。乙方延期交货10日以上的，则视为乙方不能交货，甲方有权因此解除本合同，并要求乙方承担合同总金额10%的违约金。</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乙方其他违约行为的，乙方按违约期内甲方向乙方购货总额的10%计算，向甲方支付违约金。如果乙方违约，在收到甲方通知后的10日内没有或拒不承担违约责任的，则甲方有权从尚未支付乙方的购货价款中扣回违约金。</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4.乙方若违反本协议第六和第十任一条均视为对本协议的重大违约，甲方随时有权书面通知乙方立即终止本协议。</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5.因乙方的违约行为给甲方造成损失的（包括所有直接和间接损失），如果违约金不足以补偿该损失部分的，甲方有权继续要求乙方赔偿甲方所有实际损失。</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6.乙方对本合同所约定的设备价格负责，如果产生与设备价值、成本相关的任何法律纠纷由乙方承担，甲方不承担任何相关法律责任。</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7.乙方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pStyle w:val="761"/>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8.以上各项交付的违约金并不影响乙方继续履行本协议的其他各项义务。</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十二、双方应本着友好协商的原则，解决与本合同有关的一切争议。如一方不愿协商或协商开始后30日内无法解决，应提交甲方所在地人民法院裁决。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十三、其他</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1.本合同经甲、乙双方加盖电子签章后生效。如有变动，必须经甲方、乙方协商一致后，方可更改。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2.本合同未尽事宜，遵照《</w:t>
      </w:r>
      <w:r>
        <w:rPr>
          <w:rFonts w:hint="eastAsia" w:ascii="仿宋" w:hAnsi="仿宋" w:eastAsia="仿宋" w:cs="仿宋"/>
          <w:sz w:val="28"/>
          <w:szCs w:val="28"/>
          <w:lang w:val="en-US" w:eastAsia="zh-CN"/>
        </w:rPr>
        <w:t xml:space="preserve">中华人民共和国</w:t>
      </w:r>
      <w:r>
        <w:rPr>
          <w:rFonts w:hint="eastAsia" w:ascii="仿宋" w:hAnsi="仿宋" w:eastAsia="仿宋" w:cs="仿宋"/>
          <w:sz w:val="28"/>
          <w:szCs w:val="28"/>
        </w:rPr>
        <w:t xml:space="preserve">民法典》、《政府采购法》有关条文执行。</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十四、组成本合同的文件包括</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3.中标通知书；</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4.甲乙双方商定的其他必要文件。上述合同文件内容互为补充，如有不明确，由甲方负责解释，未经事宜双方协商解决。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十五、合同签署地点：淮安。</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单位盖章:（电子签章）              单位盖章:（电子签章）</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签定日期:                          签定日期:</w:t>
      </w:r>
      <w:r/>
    </w:p>
    <w:p>
      <w:pPr>
        <w:jc w:val="center"/>
        <w:spacing w:line="520" w:lineRule="exact"/>
        <w:tabs>
          <w:tab w:val="left" w:pos="180" w:leader="none"/>
        </w:tabs>
        <w:rPr>
          <w:rFonts w:hint="eastAsia" w:ascii="仿宋" w:hAnsi="仿宋" w:eastAsia="仿宋" w:cs="仿宋"/>
          <w:b/>
          <w:bCs/>
          <w:sz w:val="32"/>
          <w:szCs w:val="32"/>
        </w:rPr>
      </w:pPr>
      <w:r>
        <w:rPr>
          <w:rFonts w:hint="eastAsia" w:ascii="仿宋" w:hAnsi="仿宋" w:eastAsia="仿宋" w:cs="仿宋"/>
          <w:b/>
          <w:bCs/>
          <w:sz w:val="32"/>
          <w:szCs w:val="32"/>
        </w:rPr>
        <w:t xml:space="preserve">二、合同通用条款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2</w:t>
      </w:r>
      <w:r>
        <w:rPr>
          <w:rFonts w:hint="eastAsia" w:ascii="仿宋" w:hAnsi="仿宋" w:eastAsia="仿宋"/>
          <w:sz w:val="28"/>
        </w:rPr>
        <w:t xml:space="preserve">.不可抗力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.税费</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.违约终止合同</w:t>
      </w:r>
      <w:r/>
    </w:p>
    <w:p>
      <w:pPr>
        <w:pStyle w:val="964"/>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w:t>
      </w:r>
      <w:r>
        <w:rPr>
          <w:rFonts w:hint="eastAsia" w:hAnsi="仿宋"/>
          <w:color w:val="auto"/>
          <w:sz w:val="28"/>
          <w:szCs w:val="28"/>
        </w:rPr>
        <w:t xml:space="preserve">1</w:t>
      </w:r>
      <w:r>
        <w:rPr>
          <w:rFonts w:hAnsi="仿宋"/>
          <w:color w:val="auto"/>
          <w:sz w:val="28"/>
          <w:szCs w:val="28"/>
        </w:rPr>
        <w:t xml:space="preserve">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64"/>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64"/>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64"/>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.2 </w:t>
      </w:r>
      <w:r>
        <w:rPr>
          <w:rFonts w:hint="eastAsia" w:hAnsi="仿宋"/>
          <w:color w:val="auto"/>
          <w:sz w:val="28"/>
          <w:szCs w:val="28"/>
        </w:rPr>
        <w:t xml:space="preserve">在甲方根据第1</w:t>
      </w:r>
      <w:r>
        <w:rPr>
          <w:rFonts w:hint="eastAsia" w:hAnsi="仿宋"/>
          <w:color w:val="auto"/>
          <w:sz w:val="28"/>
          <w:szCs w:val="28"/>
          <w:lang w:val="en-US" w:eastAsia="zh-CN"/>
        </w:rPr>
        <w:t xml:space="preserve">6</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6</w:t>
      </w:r>
      <w:r>
        <w:rPr>
          <w:rFonts w:hint="eastAsia" w:ascii="仿宋" w:hAnsi="仿宋" w:eastAsia="仿宋"/>
          <w:sz w:val="28"/>
        </w:rPr>
        <w:t xml:space="preserve">.破产中止合同</w:t>
      </w:r>
      <w:r/>
    </w:p>
    <w:p>
      <w:pPr>
        <w:pStyle w:val="920"/>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w:t>
      </w:r>
      <w:r>
        <w:rPr>
          <w:rFonts w:hint="eastAsia" w:ascii="仿宋" w:hAnsi="仿宋" w:eastAsia="仿宋"/>
          <w:sz w:val="28"/>
          <w:szCs w:val="24"/>
          <w:lang w:val="en-US" w:eastAsia="zh-CN"/>
        </w:rPr>
        <w:t xml:space="preserve">6</w:t>
      </w:r>
      <w:r>
        <w:rPr>
          <w:rFonts w:hint="eastAsia" w:ascii="仿宋" w:hAnsi="仿宋" w:eastAsia="仿宋"/>
          <w:sz w:val="28"/>
          <w:szCs w:val="24"/>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9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.转让</w:t>
      </w:r>
      <w:r/>
    </w:p>
    <w:p>
      <w:pPr>
        <w:pStyle w:val="920"/>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 除甲方事先书面同意外，乙方不得部分转让或全部转让其应履行的合同义务。</w:t>
      </w:r>
      <w:r/>
    </w:p>
    <w:p>
      <w:pPr>
        <w:pStyle w:val="9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.合同生效及其它</w:t>
      </w:r>
      <w:r/>
    </w:p>
    <w:p>
      <w:pPr>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20"/>
        <w:ind w:firstLine="560"/>
        <w:spacing w:line="520" w:lineRule="exact"/>
        <w:rPr>
          <w:rFonts w:hint="eastAsia" w:ascii="仿宋" w:hAnsi="仿宋" w:eastAsia="仿宋"/>
          <w:sz w:val="28"/>
          <w:szCs w:val="24"/>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20"/>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.3合同货物交付使用后所发生的合同纠纷，甲方与乙方进行处理。</w:t>
      </w:r>
      <w:r/>
    </w:p>
    <w:p>
      <w:pPr>
        <w:pStyle w:val="920"/>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.5本合同应按照中华人民共和国的现行法律进行解释。</w:t>
      </w:r>
      <w:r/>
    </w:p>
    <w:p>
      <w:pPr>
        <w:pStyle w:val="920"/>
        <w:jc w:val="center"/>
        <w:spacing w:line="520" w:lineRule="exact"/>
        <w:rPr>
          <w:rFonts w:hint="eastAsia" w:ascii="仿宋" w:hAnsi="仿宋" w:eastAsia="仿宋" w:cs="仿宋"/>
          <w:b/>
          <w:bCs/>
          <w:sz w:val="28"/>
          <w:szCs w:val="28"/>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招标设备组成</w:t>
      </w:r>
      <w:r/>
    </w:p>
    <w:tbl>
      <w:tblPr>
        <w:tblStyle w:val="686"/>
        <w:tblW w:w="4417" w:type="pct"/>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280"/>
        <w:gridCol w:w="2102"/>
        <w:gridCol w:w="1150"/>
        <w:gridCol w:w="1463"/>
      </w:tblGrid>
      <w:tr>
        <w:trPr/>
        <w:tc>
          <w:tcPr>
            <w:tcBorders>
              <w:top w:val="single" w:color="auto" w:sz="4" w:space="0"/>
              <w:left w:val="single" w:color="auto" w:sz="4" w:space="0"/>
              <w:bottom w:val="single" w:color="auto" w:sz="4" w:space="0"/>
              <w:right w:val="single" w:color="auto" w:sz="4" w:space="0"/>
            </w:tcBorders>
            <w:tcW w:w="457"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186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技术规格要求</w:t>
            </w:r>
            <w:r/>
          </w:p>
        </w:tc>
        <w:tc>
          <w:tcPr>
            <w:tcBorders>
              <w:top w:val="single" w:color="auto" w:sz="4" w:space="0"/>
              <w:left w:val="single" w:color="auto" w:sz="4" w:space="0"/>
              <w:bottom w:val="single" w:color="auto" w:sz="4" w:space="0"/>
              <w:right w:val="single" w:color="auto" w:sz="4" w:space="0"/>
            </w:tcBorders>
            <w:tcW w:w="65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942"/>
        </w:trPr>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1863"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地下水平式垃圾压缩机</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详见如下参数</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16</w:t>
            </w:r>
            <w:r/>
          </w:p>
        </w:tc>
        <w:tc>
          <w:tcPr>
            <w:tcBorders>
              <w:top w:val="single" w:color="auto" w:sz="4" w:space="0"/>
              <w:left w:val="single" w:color="auto" w:sz="4" w:space="0"/>
              <w:right w:val="single" w:color="auto" w:sz="4" w:space="0"/>
            </w:tcBorders>
            <w:tcW w:w="831" w:type="pct"/>
            <w:vAlign w:val="center"/>
            <w:textDirection w:val="lrTb"/>
            <w:noWrap w:val="false"/>
          </w:tcPr>
          <w:p>
            <w:pPr>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配备16台高压冲洗机</w:t>
            </w:r>
            <w:r/>
          </w:p>
        </w:tc>
      </w:tr>
    </w:tbl>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技术参数</w:t>
      </w:r>
      <w:r/>
    </w:p>
    <w:tbl>
      <w:tblPr>
        <w:tblStyle w:val="686"/>
        <w:tblW w:w="87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2299"/>
        <w:gridCol w:w="1414"/>
        <w:gridCol w:w="3465"/>
      </w:tblGrid>
      <w:tr>
        <w:trPr>
          <w:jc w:val="center"/>
          <w:trHeight w:val="397"/>
        </w:trPr>
        <w:tc>
          <w:tcPr>
            <w:gridSpan w:val="3"/>
            <w:tcBorders>
              <w:top w:val="single" w:color="auto" w:sz="12" w:space="0"/>
              <w:bottom w:val="single" w:color="auto" w:sz="6" w:space="0"/>
            </w:tcBorders>
            <w:tcW w:w="3889" w:type="dxa"/>
            <w:vAlign w:val="center"/>
            <w:textDirection w:val="lrTb"/>
            <w:noWrap w:val="false"/>
          </w:tcPr>
          <w:p>
            <w:pPr>
              <w:ind w:left="720"/>
              <w:rPr>
                <w:rFonts w:hint="eastAsia" w:ascii="仿宋" w:hAnsi="仿宋" w:eastAsia="仿宋" w:cs="仿宋"/>
                <w:sz w:val="28"/>
                <w:szCs w:val="28"/>
              </w:rPr>
            </w:pPr>
            <w:r>
              <w:rPr>
                <w:rFonts w:hint="eastAsia" w:ascii="仿宋" w:hAnsi="仿宋" w:eastAsia="仿宋" w:cs="仿宋"/>
                <w:sz w:val="28"/>
                <w:szCs w:val="28"/>
              </w:rPr>
              <w:t xml:space="preserve">项         目</w:t>
            </w:r>
            <w:r/>
          </w:p>
        </w:tc>
        <w:tc>
          <w:tcPr>
            <w:tcBorders>
              <w:top w:val="single" w:color="auto" w:sz="12" w:space="0"/>
              <w:bottom w:val="single" w:color="auto" w:sz="6" w:space="0"/>
            </w:tcBorders>
            <w:tcW w:w="1414" w:type="dxa"/>
            <w:vAlign w:val="center"/>
            <w:textDirection w:val="lrTb"/>
            <w:noWrap w:val="false"/>
          </w:tcPr>
          <w:p>
            <w:pPr>
              <w:ind w:left="14" w:hanging="16"/>
              <w:jc w:val="center"/>
              <w:rPr>
                <w:rFonts w:hint="eastAsia" w:ascii="仿宋" w:hAnsi="仿宋" w:eastAsia="仿宋" w:cs="仿宋"/>
                <w:sz w:val="28"/>
                <w:szCs w:val="28"/>
              </w:rPr>
            </w:pPr>
            <w:r>
              <w:rPr>
                <w:rFonts w:hint="eastAsia" w:ascii="仿宋" w:hAnsi="仿宋" w:eastAsia="仿宋" w:cs="仿宋"/>
                <w:sz w:val="28"/>
                <w:szCs w:val="28"/>
              </w:rPr>
              <w:t xml:space="preserve">单   位</w:t>
            </w:r>
            <w:r/>
          </w:p>
        </w:tc>
        <w:tc>
          <w:tcPr>
            <w:tcBorders>
              <w:top w:val="single" w:color="auto" w:sz="12"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参    数</w:t>
            </w:r>
            <w:r/>
          </w:p>
        </w:tc>
      </w:tr>
      <w:tr>
        <w:trPr>
          <w:cantSplit/>
          <w:jc w:val="center"/>
          <w:trHeight w:val="390"/>
        </w:trPr>
        <w:tc>
          <w:tcPr>
            <w:gridSpan w:val="3"/>
            <w:tcBorders>
              <w:top w:val="single" w:color="auto" w:sz="6" w:space="0"/>
              <w:bottom w:val="single" w:color="auto" w:sz="4"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整机重量</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r>
      <w:tr>
        <w:trPr>
          <w:cantSplit/>
          <w:jc w:val="center"/>
          <w:trHeight w:val="390"/>
        </w:trPr>
        <w:tc>
          <w:tcPr>
            <w:gridSpan w:val="3"/>
            <w:tcBorders>
              <w:top w:val="single" w:color="auto" w:sz="4" w:space="0"/>
            </w:tcBorders>
            <w:tcW w:w="3889" w:type="dxa"/>
            <w:vAlign w:val="center"/>
            <w:vMerge w:val="restart"/>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液压系统额定压力</w:t>
            </w:r>
            <w:r/>
          </w:p>
        </w:tc>
        <w:tc>
          <w:tcPr>
            <w:tcBorders>
              <w:top w:val="single" w:color="auto" w:sz="4" w:space="0"/>
            </w:tcBorders>
            <w:tcW w:w="1414" w:type="dxa"/>
            <w:vAlign w:val="center"/>
            <w:vMerge w:val="restart"/>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Mpa</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小泵压力：≥17.5（二级≥8）</w:t>
            </w:r>
            <w:r/>
          </w:p>
        </w:tc>
      </w:tr>
      <w:tr>
        <w:trPr>
          <w:cantSplit/>
          <w:jc w:val="center"/>
          <w:trHeight w:val="390"/>
        </w:trPr>
        <w:tc>
          <w:tcPr>
            <w:gridSpan w:val="3"/>
            <w:tcW w:w="3889" w:type="dxa"/>
            <w:vAlign w:val="center"/>
            <w:vMerge w:val="continue"/>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tcW w:w="1414"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大泵压力：≥8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外形尺寸（长宽高）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8600×3500×4500（±20）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垃圾块成型尺寸（长宽高）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3500×2000×1300（±20）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料斗下口尺寸（宽长）</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1760×1080（±20）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t xml:space="preserve">垃圾收集</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无压盖，在压缩垃圾时可同时接受收集车倾倒垃圾，效率高</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整块垃圾重量（约）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配套电机功率</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kW</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≤18.5</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单机日处理垃圾量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t/day</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≥100</w:t>
            </w:r>
            <w:r/>
          </w:p>
        </w:tc>
      </w:tr>
      <w:tr>
        <w:trPr>
          <w:jc w:val="center"/>
          <w:trHeight w:val="390"/>
        </w:trPr>
        <w:tc>
          <w:tcPr>
            <w:tcBorders>
              <w:top w:val="single" w:color="auto" w:sz="6" w:space="0"/>
              <w:right w:val="single" w:color="auto" w:sz="4"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前门</w:t>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重量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r>
      <w:tr>
        <w:trPr>
          <w:jc w:val="center"/>
          <w:trHeight w:val="390"/>
        </w:trPr>
        <w:tc>
          <w:tcPr>
            <w:tcBorders>
              <w:bottom w:val="single" w:color="auto" w:sz="6" w:space="0"/>
              <w:right w:val="single" w:color="auto" w:sz="4" w:space="0"/>
            </w:tcBorders>
            <w:tcW w:w="840" w:type="dxa"/>
            <w:vAlign w:val="center"/>
            <w:vMerge w:val="continue"/>
            <w:textDirection w:val="tbRlV"/>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开启方式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双油缸顶升</w:t>
            </w:r>
            <w:r/>
          </w:p>
        </w:tc>
      </w:tr>
      <w:tr>
        <w:trPr>
          <w:cantSplit/>
          <w:jc w:val="center"/>
          <w:trHeight w:val="390"/>
        </w:trPr>
        <w:tc>
          <w:tcPr>
            <w:tcBorders>
              <w:top w:val="single" w:color="auto" w:sz="6" w:space="0"/>
              <w:bottom w:val="single" w:color="auto" w:sz="6"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推压装置</w:t>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一主二副油缸布局</w:t>
            </w:r>
            <w:r/>
          </w:p>
        </w:tc>
      </w:tr>
      <w:tr>
        <w:trPr>
          <w:cantSplit/>
          <w:jc w:val="center"/>
          <w:trHeight w:val="390"/>
        </w:trPr>
        <w:tc>
          <w:tcPr>
            <w:tcBorders>
              <w:top w:val="single" w:color="auto" w:sz="6" w:space="0"/>
              <w:bottom w:val="single" w:color="auto" w:sz="6" w:space="0"/>
            </w:tcBorders>
            <w:tcW w:w="840" w:type="dxa"/>
            <w:vAlign w:val="center"/>
            <w:vMerge w:val="continue"/>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额定压缩力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≥1050</w:t>
            </w:r>
            <w:r/>
          </w:p>
        </w:tc>
      </w:tr>
      <w:tr>
        <w:trPr>
          <w:cantSplit/>
          <w:jc w:val="center"/>
          <w:trHeight w:val="48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额定推出力</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≥520</w:t>
            </w:r>
            <w:r/>
          </w:p>
        </w:tc>
      </w:tr>
      <w:tr>
        <w:trPr>
          <w:cantSplit/>
          <w:jc w:val="center"/>
          <w:trHeight w:val="30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right w:val="single" w:color="auto" w:sz="4" w:space="0"/>
            </w:tcBorders>
            <w:tcW w:w="750" w:type="dxa"/>
            <w:vAlign w:val="center"/>
            <w:vMerge w:val="restart"/>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推压速度</w:t>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空载（一级∕二级）</w:t>
            </w:r>
            <w:r/>
          </w:p>
        </w:tc>
        <w:tc>
          <w:tcPr>
            <w:tcBorders>
              <w:top w:val="single" w:color="auto" w:sz="4"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≥2.0/≥4.0</w:t>
            </w:r>
            <w:r/>
          </w:p>
        </w:tc>
      </w:tr>
      <w:tr>
        <w:trPr>
          <w:cantSplit/>
          <w:jc w:val="center"/>
          <w:trHeight w:val="315"/>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right w:val="single" w:color="auto" w:sz="4" w:space="0"/>
            </w:tcBorders>
            <w:tcW w:w="750" w:type="dxa"/>
            <w:vAlign w:val="center"/>
            <w:vMerge w:val="continue"/>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工作</w:t>
            </w:r>
            <w:r/>
          </w:p>
        </w:tc>
        <w:tc>
          <w:tcPr>
            <w:tcBorders>
              <w:top w:val="single" w:color="auto" w:sz="4"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≥0.77</w:t>
            </w:r>
            <w:r/>
          </w:p>
        </w:tc>
      </w:tr>
      <w:tr>
        <w:trPr>
          <w:cantSplit/>
          <w:jc w:val="center"/>
          <w:trHeight w:val="39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推压行程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5050（±20）</w:t>
            </w:r>
            <w:r/>
          </w:p>
        </w:tc>
      </w:tr>
      <w:tr>
        <w:trPr>
          <w:cantSplit/>
          <w:jc w:val="center"/>
          <w:trHeight w:val="390"/>
        </w:trPr>
        <w:tc>
          <w:tcPr>
            <w:tcBorders>
              <w:top w:val="single" w:color="auto" w:sz="6" w:space="0"/>
            </w:tcBorders>
            <w:tcW w:w="840" w:type="dxa"/>
            <w:vAlign w:val="center"/>
            <w:vMerge w:val="restart"/>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t xml:space="preserve">提升装置</w:t>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提升方式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四根立柱内举升油缸同步顶升</w:t>
            </w:r>
            <w:r/>
          </w:p>
        </w:tc>
      </w:tr>
      <w:tr>
        <w:trPr>
          <w:cantSplit/>
          <w:jc w:val="center"/>
          <w:trHeight w:val="390"/>
        </w:trPr>
        <w:tc>
          <w:tcPr>
            <w:tcBorders>
              <w:top w:val="single" w:color="auto" w:sz="6" w:space="0"/>
            </w:tcBorders>
            <w:tcW w:w="840" w:type="dxa"/>
            <w:vAlign w:val="center"/>
            <w:vMerge w:val="continue"/>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额定提升力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≥390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2920（±20）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下降速度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≥4.6</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垃圾箱套入车厢的最大距离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推板下边伸出箱体最大距离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箱体装车面离地最大高度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≥1480</w:t>
            </w:r>
            <w:r/>
          </w:p>
        </w:tc>
      </w:tr>
    </w:tbl>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注：为证明投标产品为成熟可靠产品且能满足本项目现有配套设计，投标单位需在标书内提供本项目公告日期前由国家级检测单位出具的检测报告作为佐证，中标后需提供原件备查。</w:t>
      </w:r>
      <w:r/>
    </w:p>
    <w:p>
      <w:pPr>
        <w:numPr>
          <w:ilvl w:val="0"/>
          <w:numId w:val="6"/>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其他要求</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地下水平式垃圾压缩机</w:t>
      </w:r>
      <w:r>
        <w:rPr>
          <w:rFonts w:hint="eastAsia" w:ascii="仿宋" w:hAnsi="仿宋" w:eastAsia="仿宋" w:cs="仿宋"/>
          <w:sz w:val="28"/>
          <w:szCs w:val="28"/>
        </w:rPr>
        <w:t xml:space="preserve">由受圾箱总成、提升装置、液压装置、电控装置、污水收集装置、冲洗装置组成。</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2、垃圾压缩机主要零配件品牌要求为国内知名品牌产品</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3、箱体侧面加强筋采用120mm*60mm长1600mm的方管，采用厚度6mm的钢板折弯而成；箱体底板厚度≥12mm，侧板和顶板厚度≥10mm。</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4、操作系统安全性能强，采用24V安全电压操作。</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5、压缩机工作噪声符合相应国家标准。</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6、液压系统在额定油压下液压系统无外渗漏油现象。</w:t>
      </w:r>
      <w:r/>
    </w:p>
    <w:p>
      <w:pPr>
        <w:spacing w:line="360" w:lineRule="auto"/>
        <w:tabs>
          <w:tab w:val="left" w:pos="0" w:leader="none"/>
        </w:tabs>
        <w:rPr>
          <w:rFonts w:hint="eastAsia" w:ascii="仿宋" w:hAnsi="仿宋" w:eastAsia="仿宋" w:cs="仿宋"/>
          <w:sz w:val="28"/>
          <w:szCs w:val="28"/>
        </w:rPr>
      </w:pPr>
      <w:r/>
      <w:bookmarkStart w:id="38" w:name="_Hlk45954568"/>
      <w:r>
        <w:rPr>
          <w:rFonts w:hint="eastAsia" w:ascii="仿宋" w:hAnsi="仿宋" w:eastAsia="仿宋" w:cs="仿宋"/>
          <w:sz w:val="28"/>
          <w:szCs w:val="28"/>
        </w:rPr>
        <w:t xml:space="preserve">7、中标单位负责设备的运输、安装、调试及操作人员培训。</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8、压缩设备质量保修期</w:t>
      </w:r>
      <w:r>
        <w:rPr>
          <w:rFonts w:hint="eastAsia" w:ascii="仿宋" w:hAnsi="仿宋" w:eastAsia="仿宋" w:cs="仿宋"/>
          <w:sz w:val="28"/>
          <w:szCs w:val="28"/>
          <w:lang w:val="en-US" w:eastAsia="zh-CN"/>
        </w:rPr>
        <w:t xml:space="preserve">至</w:t>
      </w:r>
      <w:r>
        <w:rPr>
          <w:rFonts w:hint="eastAsia" w:ascii="仿宋" w:hAnsi="仿宋" w:eastAsia="仿宋" w:cs="仿宋"/>
          <w:sz w:val="28"/>
          <w:szCs w:val="28"/>
          <w:highlight w:val="none"/>
          <w:lang w:val="en-US" w:eastAsia="zh-CN"/>
        </w:rPr>
        <w:t xml:space="preserve">少三</w:t>
      </w:r>
      <w:r>
        <w:rPr>
          <w:rFonts w:hint="eastAsia" w:ascii="仿宋" w:hAnsi="仿宋" w:eastAsia="仿宋" w:cs="仿宋"/>
          <w:sz w:val="28"/>
          <w:szCs w:val="28"/>
          <w:highlight w:val="none"/>
        </w:rPr>
        <w:t xml:space="preserve">年，</w:t>
      </w:r>
      <w:r>
        <w:rPr>
          <w:rFonts w:hint="eastAsia" w:ascii="仿宋" w:hAnsi="仿宋" w:eastAsia="仿宋" w:cs="仿宋"/>
          <w:sz w:val="28"/>
          <w:szCs w:val="28"/>
        </w:rPr>
        <w:t xml:space="preserve">实行终身维护；质量保证期内出现质量问题，中标单位负责免费包修。</w:t>
      </w:r>
      <w:bookmarkEnd w:id="38"/>
      <w:r/>
      <w:r/>
    </w:p>
    <w:p>
      <w:pPr>
        <w:rPr>
          <w:rFonts w:hint="eastAsia" w:ascii="仿宋" w:hAnsi="仿宋" w:eastAsia="仿宋" w:cs="仿宋"/>
          <w:sz w:val="28"/>
          <w:szCs w:val="28"/>
        </w:rPr>
      </w:pPr>
      <w:r>
        <w:rPr>
          <w:rFonts w:hint="eastAsia" w:ascii="仿宋" w:hAnsi="仿宋" w:eastAsia="仿宋" w:cs="仿宋"/>
          <w:sz w:val="28"/>
          <w:szCs w:val="28"/>
        </w:rPr>
      </w:r>
      <w:r/>
    </w:p>
    <w:p>
      <w:pPr>
        <w:jc w:val="center"/>
        <w:spacing w:line="400" w:lineRule="exact"/>
        <w:rPr>
          <w:rFonts w:hint="eastAsia" w:ascii="黑体" w:hAnsi="黑体" w:eastAsia="黑体"/>
          <w:b/>
          <w:bCs/>
          <w:sz w:val="36"/>
        </w:rPr>
      </w:pP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920"/>
        <w:rPr>
          <w:rFonts w:hint="eastAsia" w:ascii="黑体" w:hAnsi="黑体" w:eastAsia="黑体"/>
          <w:sz w:val="44"/>
          <w:szCs w:val="44"/>
        </w:rPr>
      </w:pPr>
      <w:r>
        <w:rPr>
          <w:rFonts w:hint="eastAsia" w:ascii="黑体" w:hAnsi="黑体" w:eastAsia="黑体"/>
          <w:sz w:val="44"/>
          <w:szCs w:val="44"/>
        </w:rPr>
      </w:r>
      <w:r/>
    </w:p>
    <w:p>
      <w:pPr>
        <w:pStyle w:val="920"/>
        <w:rPr>
          <w:rFonts w:hint="eastAsia" w:ascii="黑体" w:hAnsi="黑体" w:eastAsia="黑体"/>
          <w:sz w:val="32"/>
        </w:rPr>
      </w:pPr>
      <w:r>
        <w:rPr>
          <w:rFonts w:hint="eastAsia" w:ascii="黑体" w:hAnsi="黑体" w:eastAsia="黑体"/>
          <w:sz w:val="32"/>
        </w:rPr>
      </w:r>
      <w:r/>
    </w:p>
    <w:p>
      <w:pPr>
        <w:pStyle w:val="920"/>
        <w:rPr>
          <w:rFonts w:hint="eastAsia" w:ascii="黑体" w:hAnsi="黑体" w:eastAsia="黑体"/>
          <w:sz w:val="32"/>
        </w:rPr>
      </w:pPr>
      <w:r>
        <w:rPr>
          <w:rFonts w:hint="eastAsia" w:ascii="黑体" w:hAnsi="黑体" w:eastAsia="黑体"/>
          <w:sz w:val="32"/>
        </w:rPr>
      </w:r>
      <w:r/>
    </w:p>
    <w:p>
      <w:pPr>
        <w:pStyle w:val="920"/>
        <w:rPr>
          <w:rFonts w:hint="eastAsia" w:ascii="黑体" w:hAnsi="黑体" w:eastAsia="黑体"/>
          <w:sz w:val="32"/>
        </w:rPr>
      </w:pPr>
      <w:r>
        <w:rPr>
          <w:rFonts w:hint="eastAsia" w:ascii="黑体" w:hAnsi="黑体" w:eastAsia="黑体"/>
          <w:sz w:val="32"/>
        </w:rPr>
      </w:r>
      <w:r/>
    </w:p>
    <w:p>
      <w:pPr>
        <w:pStyle w:val="920"/>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20"/>
        <w:rPr>
          <w:rFonts w:hint="eastAsia" w:ascii="黑体" w:hAnsi="黑体" w:eastAsia="黑体"/>
          <w:sz w:val="32"/>
        </w:rPr>
      </w:pPr>
      <w:r>
        <w:rPr>
          <w:rFonts w:hint="eastAsia" w:ascii="黑体" w:hAnsi="黑体" w:eastAsia="黑体"/>
          <w:sz w:val="32"/>
        </w:rPr>
      </w:r>
      <w:r/>
    </w:p>
    <w:p>
      <w:pPr>
        <w:pStyle w:val="920"/>
        <w:ind w:firstLine="1066"/>
        <w:rPr>
          <w:rFonts w:hint="eastAsia" w:ascii="黑体" w:hAnsi="黑体" w:eastAsia="黑体"/>
          <w:b/>
          <w:sz w:val="36"/>
          <w:szCs w:val="24"/>
        </w:rPr>
      </w:pPr>
      <w:r>
        <w:rPr>
          <w:rFonts w:hint="eastAsia" w:ascii="黑体" w:hAnsi="黑体" w:eastAsia="黑体"/>
          <w:b/>
          <w:sz w:val="36"/>
          <w:szCs w:val="24"/>
        </w:rPr>
      </w:r>
      <w:r/>
    </w:p>
    <w:p>
      <w:pPr>
        <w:pStyle w:val="920"/>
        <w:ind w:firstLine="1066"/>
        <w:rPr>
          <w:rFonts w:hint="eastAsia" w:ascii="黑体" w:hAnsi="黑体" w:eastAsia="黑体"/>
          <w:b/>
          <w:sz w:val="36"/>
          <w:szCs w:val="24"/>
        </w:rPr>
      </w:pPr>
      <w:r>
        <w:rPr>
          <w:rFonts w:hint="eastAsia" w:ascii="黑体" w:hAnsi="黑体" w:eastAsia="黑体"/>
          <w:b/>
          <w:sz w:val="36"/>
          <w:szCs w:val="24"/>
        </w:rPr>
      </w:r>
      <w:r/>
    </w:p>
    <w:p>
      <w:pPr>
        <w:pStyle w:val="920"/>
        <w:ind w:firstLine="1066"/>
        <w:rPr>
          <w:rFonts w:hint="eastAsia" w:ascii="黑体" w:hAnsi="黑体" w:eastAsia="黑体"/>
          <w:b/>
          <w:sz w:val="36"/>
          <w:szCs w:val="24"/>
        </w:rPr>
      </w:pPr>
      <w:r>
        <w:rPr>
          <w:rFonts w:hint="eastAsia" w:ascii="黑体" w:hAnsi="黑体" w:eastAsia="黑体"/>
          <w:b/>
          <w:sz w:val="36"/>
          <w:szCs w:val="24"/>
        </w:rPr>
      </w:r>
      <w:r/>
    </w:p>
    <w:p>
      <w:pPr>
        <w:pStyle w:val="920"/>
        <w:ind w:firstLine="1066"/>
        <w:rPr>
          <w:rFonts w:hint="eastAsia" w:ascii="黑体" w:hAnsi="黑体" w:eastAsia="黑体"/>
          <w:b/>
          <w:sz w:val="36"/>
          <w:szCs w:val="24"/>
        </w:rPr>
      </w:pPr>
      <w:r>
        <w:rPr>
          <w:rFonts w:hint="eastAsia" w:ascii="黑体" w:hAnsi="黑体" w:eastAsia="黑体"/>
          <w:b/>
          <w:sz w:val="36"/>
          <w:szCs w:val="24"/>
        </w:rPr>
      </w:r>
      <w:r/>
    </w:p>
    <w:p>
      <w:pPr>
        <w:pStyle w:val="920"/>
        <w:ind w:firstLine="1066"/>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1904"/>
        <w:rPr>
          <w:rFonts w:hint="eastAsia" w:ascii="黑体" w:hAnsi="黑体" w:eastAsia="黑体"/>
          <w:sz w:val="32"/>
        </w:rPr>
      </w:pPr>
      <w:r>
        <w:rPr>
          <w:rFonts w:hint="eastAsia" w:ascii="黑体" w:hAnsi="黑体" w:eastAsia="黑体"/>
          <w:sz w:val="32"/>
        </w:rPr>
      </w:r>
      <w:r/>
    </w:p>
    <w:p>
      <w:pPr>
        <w:pStyle w:val="920"/>
        <w:ind w:firstLine="2891"/>
        <w:rPr>
          <w:rFonts w:hint="eastAsia"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〇</w:t>
      </w: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20"/>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rPr>
        <w:t xml:space="preserve">致:</w:t>
      </w:r>
      <w:r>
        <w:rPr>
          <w:rFonts w:hint="eastAsia" w:ascii="仿宋" w:hAnsi="仿宋" w:eastAsia="仿宋" w:cs="仿宋"/>
          <w:color w:val="000000"/>
          <w:sz w:val="28"/>
        </w:rPr>
        <w:t xml:space="preserve">淮安市清江浦区环卫事业管理服务中心</w:t>
      </w:r>
      <w:r/>
    </w:p>
    <w:p>
      <w:pPr>
        <w:pStyle w:val="971"/>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（供应商单位名称），全权处理本次项目投标的有关事宜。</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p>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71"/>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71"/>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71"/>
        <w:ind w:right="560" w:firstLine="420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71"/>
        <w:ind w:right="560" w:firstLine="420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20"/>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pStyle w:val="920"/>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8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3995"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3995" w:type="pct"/>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供货时间</w:t>
            </w:r>
            <w:r/>
          </w:p>
        </w:tc>
        <w:tc>
          <w:tcPr>
            <w:tcW w:w="3995"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按招标文件要求执行。</w:t>
            </w:r>
            <w:r/>
          </w:p>
        </w:tc>
      </w:tr>
    </w:tbl>
    <w:p>
      <w:pPr>
        <w:ind w:firstLine="411"/>
        <w:spacing w:line="440" w:lineRule="exact"/>
        <w:rPr>
          <w:rFonts w:hint="eastAsia" w:ascii="仿宋" w:hAnsi="仿宋" w:eastAsia="仿宋"/>
          <w:sz w:val="28"/>
          <w:szCs w:val="28"/>
        </w:rPr>
      </w:pPr>
      <w:r/>
      <w:bookmarkStart w:id="39" w:name="_Toc136924766"/>
      <w:r/>
      <w:bookmarkEnd w:id="39"/>
      <w:r/>
      <w:bookmarkStart w:id="40" w:name="_Toc157775459"/>
      <w:r/>
      <w:bookmarkEnd w:id="40"/>
      <w:r/>
      <w:r/>
    </w:p>
    <w:p>
      <w:pPr>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920"/>
        <w:ind w:firstLine="2875"/>
        <w:rPr>
          <w:rFonts w:hint="eastAsia" w:hAnsi="宋体"/>
          <w:b/>
          <w:sz w:val="32"/>
          <w:szCs w:val="32"/>
        </w:rPr>
      </w:pPr>
      <w:r/>
      <w:bookmarkStart w:id="41" w:name="_Toc157775468"/>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ind w:firstLine="2875"/>
        <w:rPr>
          <w:rFonts w:hint="eastAsia" w:hAnsi="宋体"/>
          <w:b/>
          <w:sz w:val="32"/>
          <w:szCs w:val="32"/>
        </w:rPr>
      </w:pPr>
      <w:r>
        <w:rPr>
          <w:rFonts w:hint="eastAsia" w:hAnsi="宋体"/>
          <w:b/>
          <w:sz w:val="32"/>
          <w:szCs w:val="32"/>
        </w:rPr>
      </w:r>
      <w:r/>
    </w:p>
    <w:p>
      <w:pPr>
        <w:pStyle w:val="920"/>
        <w:jc w:val="both"/>
        <w:rPr>
          <w:rFonts w:hint="eastAsia" w:ascii="仿宋" w:hAnsi="仿宋" w:eastAsia="仿宋"/>
          <w:b/>
          <w:sz w:val="32"/>
          <w:szCs w:val="32"/>
        </w:rPr>
      </w:pPr>
      <w:r>
        <w:rPr>
          <w:rFonts w:hint="eastAsia" w:ascii="仿宋" w:hAnsi="仿宋" w:eastAsia="仿宋"/>
          <w:b/>
          <w:sz w:val="32"/>
          <w:szCs w:val="32"/>
        </w:rPr>
      </w:r>
      <w:r/>
    </w:p>
    <w:p>
      <w:pPr>
        <w:pStyle w:val="920"/>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920"/>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8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52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697"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449"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920"/>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462" w:type="pct"/>
            <w:textDirection w:val="lrTb"/>
            <w:noWrap w:val="false"/>
          </w:tcPr>
          <w:p>
            <w:pPr>
              <w:pStyle w:val="920"/>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20"/>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20"/>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20"/>
        <w:ind w:firstLine="691"/>
        <w:spacing w:line="440" w:lineRule="exact"/>
        <w:rPr>
          <w:rFonts w:hint="eastAsia"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920"/>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20"/>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20"/>
        <w:jc w:val="center"/>
        <w:spacing w:line="440" w:lineRule="exact"/>
        <w:rPr>
          <w:rFonts w:hint="eastAsia" w:ascii="仿宋" w:hAnsi="仿宋" w:eastAsia="仿宋"/>
          <w:b/>
          <w:sz w:val="32"/>
        </w:rPr>
      </w:pPr>
      <w:r>
        <w:rPr>
          <w:rFonts w:hint="eastAsia" w:ascii="仿宋" w:hAnsi="仿宋" w:eastAsia="仿宋"/>
          <w:b/>
          <w:sz w:val="32"/>
        </w:rPr>
      </w:r>
      <w:r/>
    </w:p>
    <w:p>
      <w:pPr>
        <w:pStyle w:val="920"/>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8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612" w:type="pct"/>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91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1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1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18"/>
        <w:ind w:left="0" w:right="34" w:firstLine="2715"/>
        <w:spacing w:before="120" w:line="520" w:lineRule="exact"/>
        <w:rPr>
          <w:rFonts w:hint="eastAsia" w:ascii="宋体" w:hAnsi="宋体"/>
          <w:b/>
          <w:sz w:val="32"/>
          <w:szCs w:val="32"/>
        </w:rPr>
      </w:pPr>
      <w:r>
        <w:rPr>
          <w:rFonts w:hint="eastAsia" w:ascii="宋体" w:hAnsi="宋体"/>
          <w:b/>
          <w:sz w:val="32"/>
          <w:szCs w:val="32"/>
        </w:rPr>
      </w:r>
      <w:bookmarkEnd w:id="41"/>
      <w:r/>
      <w:r/>
    </w:p>
    <w:p>
      <w:pPr>
        <w:pStyle w:val="918"/>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20"/>
        <w:jc w:val="center"/>
        <w:spacing w:line="520" w:lineRule="exact"/>
        <w:rPr>
          <w:rFonts w:hint="eastAsia"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pStyle w:val="920"/>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2</w:t>
      </w:r>
      <w:r>
        <w:rPr>
          <w:rFonts w:hint="eastAsia" w:ascii="仿宋" w:hAnsi="仿宋" w:eastAsia="仿宋"/>
          <w:sz w:val="28"/>
        </w:rPr>
        <w:t xml:space="preserve">、供应商符合《</w:t>
      </w:r>
      <w:r>
        <w:rPr>
          <w:rFonts w:hint="eastAsia" w:ascii="仿宋" w:hAnsi="仿宋" w:eastAsia="仿宋"/>
          <w:sz w:val="28"/>
          <w:szCs w:val="28"/>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szCs w:val="28"/>
        </w:rPr>
        <w:t xml:space="preserve">提供承诺书</w:t>
      </w:r>
      <w:r>
        <w:rPr>
          <w:rFonts w:hint="eastAsia" w:ascii="仿宋" w:hAnsi="仿宋" w:eastAsia="仿宋"/>
          <w:sz w:val="28"/>
        </w:rPr>
        <w:t xml:space="preserve">上传至电子标文件中，并进行电子签章</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3</w:t>
      </w:r>
      <w:bookmarkStart w:id="43" w:name="_GoBack"/>
      <w:r/>
      <w:bookmarkEnd w:id="43"/>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宋体" w:hAnsi="宋体"/>
          <w:b/>
          <w:sz w:val="36"/>
        </w:rPr>
      </w:pPr>
      <w:r>
        <w:rPr>
          <w:rFonts w:ascii="宋体" w:hAnsi="宋体"/>
          <w:b/>
          <w:sz w:val="36"/>
        </w:rPr>
        <w:br w:type="page" w:clear="all"/>
      </w:r>
      <w:bookmarkStart w:id="42" w:name="_Toc157775454"/>
      <w:r/>
      <w:r/>
    </w:p>
    <w:p>
      <w:pPr>
        <w:jc w:val="center"/>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w:t>
      </w:r>
      <w:r>
        <w:rPr>
          <w:rFonts w:hint="eastAsia" w:ascii="仿宋" w:hAnsi="仿宋" w:eastAsia="仿宋" w:cs="楷体_GB2312"/>
          <w:sz w:val="28"/>
          <w:szCs w:val="28"/>
        </w:rPr>
        <w:t xml:space="preserve">供应商</w:t>
      </w:r>
      <w:r>
        <w:rPr>
          <w:rFonts w:hint="eastAsia" w:ascii="仿宋" w:hAnsi="仿宋" w:eastAsia="仿宋" w:cs="楷体_GB2312"/>
          <w:sz w:val="28"/>
          <w:szCs w:val="28"/>
          <w:lang w:val="zh-CN"/>
        </w:rPr>
        <w:t xml:space="preserve">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spacing w:line="440" w:lineRule="exact"/>
        <w:rPr>
          <w:rFonts w:hint="eastAsia" w:ascii="仿宋" w:hAnsi="仿宋" w:eastAsia="仿宋" w:cs="楷体_GB2312"/>
          <w:sz w:val="28"/>
          <w:szCs w:val="28"/>
          <w:lang w:val="en-US" w:eastAsia="zh-CN"/>
        </w:rPr>
      </w:pPr>
      <w:r>
        <w:rPr>
          <w:rFonts w:hint="eastAsia" w:ascii="仿宋" w:hAnsi="仿宋" w:eastAsia="仿宋" w:cs="楷体_GB2312"/>
          <w:sz w:val="28"/>
          <w:szCs w:val="28"/>
          <w:lang w:val="en-US" w:eastAsia="zh-CN"/>
        </w:rPr>
        <w:t xml:space="preserve">1、货物须提供不少于3年的售后质保期，该要求为最低强制性标准，未满足者按无效响应处理。投标人需提供书面质保承诺函（加盖公章）。</w:t>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42"/>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71"/>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sz w:val="28"/>
          <w:szCs w:val="28"/>
        </w:rPr>
      </w:pPr>
      <w:r>
        <w:rPr>
          <w:rFonts w:hint="eastAsia" w:ascii="仿宋" w:hAnsi="仿宋" w:eastAsia="仿宋"/>
          <w:bCs/>
          <w:sz w:val="28"/>
        </w:rPr>
        <w:t xml:space="preserve">注:供应商法定代表人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30"/>
          <w:szCs w:val="28"/>
        </w:rPr>
        <w:t xml:space="preserve">致:</w:t>
      </w:r>
      <w:r>
        <w:rPr>
          <w:rFonts w:hint="eastAsia" w:ascii="仿宋" w:hAnsi="仿宋" w:eastAsia="仿宋" w:cs="仿宋"/>
          <w:color w:val="000000"/>
          <w:sz w:val="28"/>
        </w:rPr>
        <w:t xml:space="preserve">淮安市清江浦区环卫事业管理服务中心</w:t>
      </w:r>
      <w:r/>
    </w:p>
    <w:p>
      <w:pPr>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组织的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20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w:t>
      </w:r>
      <w:r/>
    </w:p>
    <w:p>
      <w:pPr>
        <w:ind w:firstLine="420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注:供应商委托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的声明函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b/>
          <w:sz w:val="32"/>
          <w:szCs w:val="32"/>
        </w:rPr>
        <w:t xml:space="preserve">示范格式四</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902"/>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902"/>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902"/>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902"/>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p>
    <w:p>
      <w:pPr>
        <w:pStyle w:val="902"/>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902"/>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392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2"/>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注：从业人员、营业收入、资产总额填报上一年度数据，无上一年度数据的新成立企业可不填报。</w:t>
      </w:r>
      <w:r/>
    </w:p>
    <w:p>
      <w:pPr>
        <w:pStyle w:val="902"/>
        <w:ind w:firstLine="0"/>
        <w:spacing w:line="600" w:lineRule="exact"/>
        <w:rPr>
          <w:rFonts w:hint="eastAsia" w:ascii="仿宋" w:hAnsi="仿宋" w:eastAsia="仿宋"/>
          <w:bCs/>
          <w:sz w:val="28"/>
          <w:szCs w:val="28"/>
        </w:rPr>
      </w:pPr>
      <w:r>
        <w:rPr>
          <w:rFonts w:hint="eastAsia" w:ascii="仿宋" w:hAnsi="仿宋" w:eastAsia="仿宋"/>
          <w:bCs/>
          <w:sz w:val="28"/>
          <w:szCs w:val="28"/>
        </w:rPr>
      </w:r>
      <w:r/>
    </w:p>
    <w:p>
      <w:pPr>
        <w:pStyle w:val="902"/>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02"/>
        <w:ind w:firstLine="0"/>
        <w:jc w:val="left"/>
        <w:spacing w:line="520" w:lineRule="exact"/>
        <w:rPr>
          <w:rFonts w:hint="eastAsia" w:ascii="仿宋" w:hAnsi="仿宋" w:eastAsia="仿宋"/>
          <w:b/>
          <w:bCs/>
          <w:sz w:val="32"/>
          <w:szCs w:val="32"/>
        </w:rPr>
      </w:pPr>
      <w:r>
        <w:rPr>
          <w:rFonts w:hint="eastAsia" w:ascii="仿宋" w:hAnsi="仿宋" w:eastAsia="仿宋"/>
          <w:b/>
          <w:sz w:val="32"/>
          <w:szCs w:val="32"/>
        </w:rPr>
        <w:t xml:space="preserve">示范格式五</w:t>
      </w:r>
      <w:r/>
    </w:p>
    <w:p>
      <w:pPr>
        <w:jc w:val="center"/>
        <w:spacing w:line="640" w:lineRule="exact"/>
        <w:widowControl/>
        <w:rPr>
          <w:rFonts w:hint="eastAsia" w:ascii="仿宋" w:hAnsi="仿宋" w:eastAsia="仿宋" w:cs="宋体"/>
          <w:sz w:val="24"/>
        </w:rPr>
      </w:pPr>
      <w:r>
        <w:rPr>
          <w:rFonts w:hint="eastAsia" w:ascii="仿宋" w:hAnsi="仿宋" w:eastAsia="仿宋" w:cs="宋体"/>
          <w:b/>
          <w:bCs/>
          <w:sz w:val="32"/>
          <w:szCs w:val="32"/>
        </w:rPr>
        <w:t xml:space="preserve">残疾人福利性单位声明函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902"/>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02"/>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902"/>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02"/>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902"/>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688"/>
        <w:ind w:firstLine="560"/>
        <w:jc w:val="center"/>
        <w:spacing w:line="64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关于符合本国产品标准的声明函</w:t>
      </w:r>
      <w:r>
        <w:rPr>
          <w:rFonts w:hint="eastAsia" w:ascii="仿宋" w:hAnsi="仿宋" w:eastAsia="仿宋" w:cs="仿宋"/>
          <w:b/>
          <w:bCs/>
          <w:sz w:val="28"/>
          <w:szCs w:val="28"/>
          <w:highlight w:val="none"/>
          <w:lang w:val="en-US" w:eastAsia="zh-CN"/>
        </w:rPr>
        <w:t xml:space="preserve"> </w:t>
      </w:r>
      <w:r/>
    </w:p>
    <w:p>
      <w:pPr>
        <w:rPr>
          <w:rFonts w:hint="eastAsia" w:ascii="仿宋" w:hAnsi="仿宋" w:eastAsia="仿宋" w:cs="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000000"/>
          <w:sz w:val="28"/>
        </w:rPr>
        <w:t xml:space="preserve">淮安市清江浦区环卫事业管理服务中心</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本公司（单位）对上述声明内容的真实性负责。如有虚假，愿承担相应法律责任。</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公司（单位）名称（盖章）：　</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日期：   年　  月　  日         </w:t>
      </w:r>
      <w:r/>
    </w:p>
    <w:p>
      <w:pPr>
        <w:pStyle w:val="902"/>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p>
    <w:p>
      <w:pPr>
        <w:pStyle w:val="902"/>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1.产品如有型号，请在“产品名称”栏一并填写。</w:t>
      </w:r>
      <w:r/>
    </w:p>
    <w:p>
      <w:pPr>
        <w:pStyle w:val="902"/>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2.生产厂名与厂址应与生产厂营业执照载明的相关信息保持一致。</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3.该产品的中国境内生产的组件成本占比相关要求实施前，“规定比例”栏可不填，下同。</w:t>
      </w:r>
      <w:r/>
    </w:p>
    <w:p>
      <w:pPr>
        <w:pStyle w:val="902"/>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4.该产品的关键组件要求实施前，“关键组件”栏可不填，下同。</w:t>
      </w:r>
      <w:r/>
    </w:p>
    <w:p>
      <w:pPr>
        <w:pStyle w:val="902"/>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highlight w:val="none"/>
        </w:rPr>
        <w:t xml:space="preserve">5.该产品的关键工序要求实施前，“关键工序”栏可不填，下同。</w:t>
      </w:r>
      <w:r/>
    </w:p>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Wingdings">
    <w:panose1 w:val="05000000000000000000"/>
  </w:font>
  <w:font w:name="Times New Roman (正文 CS 字体)">
    <w:panose1 w:val="02020603050405020304"/>
  </w:font>
  <w:font w:name="Symbol">
    <w:panose1 w:val="05050102010706020507"/>
  </w:font>
  <w:font w:name="仿宋">
    <w:panose1 w:val="02010609060101010101"/>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黑体">
    <w:panose1 w:val="02010609060101010101"/>
  </w:font>
  <w:font w:name="仿宋_GB2312">
    <w:panose1 w:val="02010609060101010101"/>
  </w:font>
  <w:font w:name="Verdana">
    <w:panose1 w:val="020B06040305040402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280"/>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垃圾中转站设施设备、公厕新建及改造项目（地埋水平压缩式设备采购）</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chineseCountingThousand"/>
      <w:pStyle w:val="98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6">
    <w:name w:val="Heading 1"/>
    <w:basedOn w:val="675"/>
    <w:next w:val="675"/>
    <w:link w:val="752"/>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53"/>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54"/>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55"/>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56"/>
    <w:uiPriority w:val="9"/>
    <w:unhideWhenUsed/>
    <w:qFormat/>
    <w:pPr>
      <w:keepLines/>
      <w:keepNext/>
      <w:spacing w:before="320" w:after="200"/>
      <w:outlineLvl w:val="4"/>
    </w:pPr>
    <w:rPr>
      <w:rFonts w:ascii="Arial" w:hAnsi="Arial" w:eastAsia="Arial" w:cs="Arial"/>
      <w:b/>
      <w:bCs/>
      <w:sz w:val="24"/>
    </w:rPr>
  </w:style>
  <w:style w:type="paragraph" w:styleId="681">
    <w:name w:val="Heading 6"/>
    <w:basedOn w:val="675"/>
    <w:next w:val="675"/>
    <w:link w:val="757"/>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59"/>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60"/>
    <w:uiPriority w:val="9"/>
    <w:unhideWhenUsed/>
    <w:qFormat/>
    <w:pPr>
      <w:keepLines/>
      <w:keepNext/>
      <w:spacing w:before="320" w:after="200"/>
      <w:outlineLvl w:val="8"/>
    </w:pPr>
    <w:rPr>
      <w:rFonts w:ascii="Arial" w:hAnsi="Arial" w:eastAsia="Arial" w:cs="Arial"/>
      <w:i/>
      <w:iCs/>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spacing w:after="57"/>
    </w:pPr>
  </w:style>
  <w:style w:type="paragraph" w:styleId="688">
    <w:name w:val="Normal Indent"/>
    <w:basedOn w:val="675"/>
    <w:uiPriority w:val="0"/>
    <w:qFormat/>
    <w:pPr>
      <w:ind w:firstLine="420"/>
    </w:pPr>
    <w:rPr>
      <w:szCs w:val="20"/>
    </w:rPr>
  </w:style>
  <w:style w:type="paragraph" w:styleId="689">
    <w:name w:val="Caption"/>
    <w:basedOn w:val="675"/>
    <w:next w:val="6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0">
    <w:name w:val="annotation text"/>
    <w:basedOn w:val="675"/>
    <w:uiPriority w:val="0"/>
    <w:qFormat/>
    <w:pPr>
      <w:jc w:val="left"/>
    </w:pPr>
  </w:style>
  <w:style w:type="paragraph" w:styleId="691">
    <w:name w:val="Body Text"/>
    <w:basedOn w:val="675"/>
    <w:next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2">
    <w:name w:val="Body Text Indent"/>
    <w:basedOn w:val="675"/>
    <w:next w:val="693"/>
    <w:uiPriority w:val="0"/>
    <w:qFormat/>
    <w:pPr>
      <w:ind w:firstLine="352"/>
    </w:pPr>
    <w:rPr>
      <w:rFonts w:ascii="仿宋_GB2312" w:eastAsia="仿宋_GB2312"/>
      <w:sz w:val="32"/>
    </w:rPr>
  </w:style>
  <w:style w:type="paragraph" w:styleId="693">
    <w:name w:val="Body Text First Indent 2"/>
    <w:basedOn w:val="692"/>
    <w:next w:val="675"/>
    <w:uiPriority w:val="0"/>
    <w:qFormat/>
    <w:pPr>
      <w:jc w:val="left"/>
    </w:pPr>
  </w:style>
  <w:style w:type="paragraph" w:styleId="694">
    <w:name w:val="toc 5"/>
    <w:basedOn w:val="675"/>
    <w:next w:val="675"/>
    <w:uiPriority w:val="39"/>
    <w:unhideWhenUsed/>
    <w:qFormat/>
    <w:pPr>
      <w:ind w:left="1134"/>
      <w:spacing w:after="57"/>
    </w:pPr>
  </w:style>
  <w:style w:type="paragraph" w:styleId="695">
    <w:name w:val="toc 3"/>
    <w:basedOn w:val="675"/>
    <w:next w:val="675"/>
    <w:uiPriority w:val="39"/>
    <w:unhideWhenUsed/>
    <w:qFormat/>
    <w:pPr>
      <w:ind w:left="567"/>
      <w:spacing w:after="57"/>
    </w:pPr>
  </w:style>
  <w:style w:type="paragraph" w:styleId="696">
    <w:name w:val="Plain Text"/>
    <w:basedOn w:val="675"/>
    <w:uiPriority w:val="0"/>
    <w:qFormat/>
    <w:rPr>
      <w:rFonts w:ascii="宋体" w:hAnsi="Courier New"/>
      <w:szCs w:val="20"/>
    </w:rPr>
  </w:style>
  <w:style w:type="paragraph" w:styleId="697">
    <w:name w:val="toc 8"/>
    <w:basedOn w:val="675"/>
    <w:next w:val="675"/>
    <w:uiPriority w:val="39"/>
    <w:unhideWhenUsed/>
    <w:qFormat/>
    <w:pPr>
      <w:ind w:left="1984"/>
      <w:spacing w:after="57"/>
    </w:pPr>
  </w:style>
  <w:style w:type="paragraph" w:styleId="698">
    <w:name w:val="endnote text"/>
    <w:basedOn w:val="675"/>
    <w:link w:val="898"/>
    <w:uiPriority w:val="99"/>
    <w:semiHidden/>
    <w:unhideWhenUsed/>
    <w:qFormat/>
    <w:rPr>
      <w:sz w:val="20"/>
    </w:rPr>
  </w:style>
  <w:style w:type="paragraph" w:styleId="699">
    <w:name w:val="Footer"/>
    <w:basedOn w:val="675"/>
    <w:link w:val="771"/>
    <w:uiPriority w:val="99"/>
    <w:unhideWhenUsed/>
    <w:qFormat/>
    <w:pPr>
      <w:tabs>
        <w:tab w:val="center" w:pos="7143" w:leader="none"/>
        <w:tab w:val="right" w:pos="14287" w:leader="none"/>
      </w:tabs>
    </w:pPr>
  </w:style>
  <w:style w:type="paragraph" w:styleId="700">
    <w:name w:val="Header"/>
    <w:basedOn w:val="675"/>
    <w:link w:val="769"/>
    <w:uiPriority w:val="99"/>
    <w:unhideWhenUsed/>
    <w:qFormat/>
    <w:pPr>
      <w:tabs>
        <w:tab w:val="center" w:pos="7143" w:leader="none"/>
        <w:tab w:val="right" w:pos="14287" w:leader="none"/>
      </w:tabs>
    </w:pPr>
  </w:style>
  <w:style w:type="paragraph" w:styleId="701">
    <w:name w:val="toc 1"/>
    <w:basedOn w:val="675"/>
    <w:next w:val="675"/>
    <w:uiPriority w:val="39"/>
    <w:unhideWhenUsed/>
    <w:qFormat/>
    <w:pPr>
      <w:spacing w:after="57"/>
    </w:pPr>
  </w:style>
  <w:style w:type="paragraph" w:styleId="702">
    <w:name w:val="toc 4"/>
    <w:basedOn w:val="675"/>
    <w:next w:val="675"/>
    <w:uiPriority w:val="39"/>
    <w:unhideWhenUsed/>
    <w:qFormat/>
    <w:pPr>
      <w:ind w:left="850"/>
      <w:spacing w:after="57"/>
    </w:pPr>
  </w:style>
  <w:style w:type="paragraph" w:styleId="703">
    <w:name w:val="Subtitle"/>
    <w:basedOn w:val="675"/>
    <w:next w:val="675"/>
    <w:link w:val="764"/>
    <w:uiPriority w:val="11"/>
    <w:qFormat/>
    <w:pPr>
      <w:spacing w:before="200" w:after="200"/>
    </w:pPr>
    <w:rPr>
      <w:sz w:val="24"/>
    </w:rPr>
  </w:style>
  <w:style w:type="paragraph" w:styleId="704">
    <w:name w:val="footnote text"/>
    <w:basedOn w:val="675"/>
    <w:link w:val="897"/>
    <w:uiPriority w:val="99"/>
    <w:semiHidden/>
    <w:unhideWhenUsed/>
    <w:qFormat/>
    <w:pPr>
      <w:spacing w:after="40"/>
    </w:pPr>
    <w:rPr>
      <w:sz w:val="18"/>
    </w:rPr>
  </w:style>
  <w:style w:type="paragraph" w:styleId="705">
    <w:name w:val="toc 6"/>
    <w:basedOn w:val="675"/>
    <w:next w:val="675"/>
    <w:uiPriority w:val="39"/>
    <w:unhideWhenUsed/>
    <w:qFormat/>
    <w:pPr>
      <w:ind w:left="1417"/>
      <w:spacing w:after="57"/>
    </w:pPr>
  </w:style>
  <w:style w:type="paragraph" w:styleId="706">
    <w:name w:val="table of figures"/>
    <w:basedOn w:val="675"/>
    <w:next w:val="675"/>
    <w:uiPriority w:val="99"/>
    <w:unhideWhenUsed/>
    <w:qFormat/>
  </w:style>
  <w:style w:type="paragraph" w:styleId="707">
    <w:name w:val="toc 2"/>
    <w:basedOn w:val="675"/>
    <w:next w:val="675"/>
    <w:uiPriority w:val="39"/>
    <w:unhideWhenUsed/>
    <w:qFormat/>
    <w:pPr>
      <w:ind w:left="283"/>
      <w:spacing w:after="57"/>
    </w:pPr>
  </w:style>
  <w:style w:type="paragraph" w:styleId="708">
    <w:name w:val="toc 9"/>
    <w:basedOn w:val="675"/>
    <w:next w:val="675"/>
    <w:uiPriority w:val="39"/>
    <w:unhideWhenUsed/>
    <w:qFormat/>
    <w:pPr>
      <w:ind w:left="2268"/>
      <w:spacing w:after="57"/>
    </w:pPr>
  </w:style>
  <w:style w:type="paragraph" w:styleId="709">
    <w:name w:val="Title"/>
    <w:basedOn w:val="675"/>
    <w:next w:val="675"/>
    <w:link w:val="763"/>
    <w:uiPriority w:val="10"/>
    <w:qFormat/>
    <w:pPr>
      <w:contextualSpacing/>
      <w:spacing w:before="300" w:after="200"/>
    </w:pPr>
    <w:rPr>
      <w:sz w:val="48"/>
      <w:szCs w:val="48"/>
    </w:rPr>
  </w:style>
  <w:style w:type="table" w:styleId="7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character" w:styleId="714" w:customStyle="1">
    <w:name w:val="Heading 1 Char"/>
    <w:basedOn w:val="685"/>
    <w:uiPriority w:val="9"/>
    <w:qFormat/>
    <w:rPr>
      <w:rFonts w:ascii="Arial" w:hAnsi="Arial" w:eastAsia="Arial" w:cs="Arial"/>
      <w:sz w:val="40"/>
      <w:szCs w:val="40"/>
    </w:rPr>
  </w:style>
  <w:style w:type="character" w:styleId="715" w:customStyle="1">
    <w:name w:val="Heading 2 Char"/>
    <w:basedOn w:val="685"/>
    <w:uiPriority w:val="9"/>
    <w:qFormat/>
    <w:rPr>
      <w:rFonts w:ascii="Arial" w:hAnsi="Arial" w:eastAsia="Arial" w:cs="Arial"/>
      <w:sz w:val="34"/>
    </w:rPr>
  </w:style>
  <w:style w:type="character" w:styleId="716" w:customStyle="1">
    <w:name w:val="Heading 3 Char"/>
    <w:basedOn w:val="685"/>
    <w:uiPriority w:val="9"/>
    <w:qFormat/>
    <w:rPr>
      <w:rFonts w:ascii="Arial" w:hAnsi="Arial" w:eastAsia="Arial" w:cs="Arial"/>
      <w:sz w:val="30"/>
      <w:szCs w:val="30"/>
    </w:rPr>
  </w:style>
  <w:style w:type="character" w:styleId="717" w:customStyle="1">
    <w:name w:val="Heading 4 Char"/>
    <w:basedOn w:val="685"/>
    <w:uiPriority w:val="9"/>
    <w:qFormat/>
    <w:rPr>
      <w:rFonts w:ascii="Arial" w:hAnsi="Arial" w:eastAsia="Arial" w:cs="Arial"/>
      <w:b/>
      <w:bCs/>
      <w:sz w:val="26"/>
      <w:szCs w:val="26"/>
    </w:rPr>
  </w:style>
  <w:style w:type="character" w:styleId="718" w:customStyle="1">
    <w:name w:val="Heading 5 Char"/>
    <w:basedOn w:val="685"/>
    <w:uiPriority w:val="9"/>
    <w:qFormat/>
    <w:rPr>
      <w:rFonts w:ascii="Arial" w:hAnsi="Arial" w:eastAsia="Arial" w:cs="Arial"/>
      <w:b/>
      <w:bCs/>
      <w:sz w:val="24"/>
      <w:szCs w:val="24"/>
    </w:rPr>
  </w:style>
  <w:style w:type="character" w:styleId="719" w:customStyle="1">
    <w:name w:val="Heading 6 Char"/>
    <w:basedOn w:val="685"/>
    <w:uiPriority w:val="9"/>
    <w:qFormat/>
    <w:rPr>
      <w:rFonts w:ascii="Arial" w:hAnsi="Arial" w:eastAsia="Arial" w:cs="Arial"/>
      <w:b/>
      <w:bCs/>
      <w:sz w:val="22"/>
      <w:szCs w:val="22"/>
    </w:rPr>
  </w:style>
  <w:style w:type="character" w:styleId="720" w:customStyle="1">
    <w:name w:val="Heading 7 Char"/>
    <w:basedOn w:val="685"/>
    <w:uiPriority w:val="9"/>
    <w:qFormat/>
    <w:rPr>
      <w:rFonts w:ascii="Arial" w:hAnsi="Arial" w:eastAsia="Arial" w:cs="Arial"/>
      <w:b/>
      <w:bCs/>
      <w:i/>
      <w:iCs/>
      <w:sz w:val="22"/>
      <w:szCs w:val="22"/>
    </w:rPr>
  </w:style>
  <w:style w:type="character" w:styleId="721" w:customStyle="1">
    <w:name w:val="Heading 8 Char"/>
    <w:basedOn w:val="685"/>
    <w:uiPriority w:val="9"/>
    <w:qFormat/>
    <w:rPr>
      <w:rFonts w:ascii="Arial" w:hAnsi="Arial" w:eastAsia="Arial" w:cs="Arial"/>
      <w:i/>
      <w:iCs/>
      <w:sz w:val="22"/>
      <w:szCs w:val="22"/>
    </w:rPr>
  </w:style>
  <w:style w:type="character" w:styleId="722" w:customStyle="1">
    <w:name w:val="Heading 9 Char"/>
    <w:basedOn w:val="685"/>
    <w:uiPriority w:val="9"/>
    <w:qFormat/>
    <w:rPr>
      <w:rFonts w:ascii="Arial" w:hAnsi="Arial" w:eastAsia="Arial" w:cs="Arial"/>
      <w:i/>
      <w:iCs/>
      <w:sz w:val="21"/>
      <w:szCs w:val="21"/>
    </w:rPr>
  </w:style>
  <w:style w:type="character" w:styleId="723" w:customStyle="1">
    <w:name w:val="Title Char"/>
    <w:basedOn w:val="685"/>
    <w:uiPriority w:val="10"/>
    <w:qFormat/>
    <w:rPr>
      <w:sz w:val="48"/>
      <w:szCs w:val="48"/>
    </w:rPr>
  </w:style>
  <w:style w:type="character" w:styleId="724" w:customStyle="1">
    <w:name w:val="Subtitle Char"/>
    <w:basedOn w:val="685"/>
    <w:uiPriority w:val="11"/>
    <w:qFormat/>
    <w:rPr>
      <w:sz w:val="24"/>
      <w:szCs w:val="24"/>
    </w:rPr>
  </w:style>
  <w:style w:type="character" w:styleId="725" w:customStyle="1">
    <w:name w:val="Quote Char"/>
    <w:uiPriority w:val="29"/>
    <w:qFormat/>
    <w:rPr>
      <w:i/>
    </w:rPr>
  </w:style>
  <w:style w:type="character" w:styleId="726" w:customStyle="1">
    <w:name w:val="Intense Quote Char"/>
    <w:uiPriority w:val="30"/>
    <w:qFormat/>
    <w:rPr>
      <w:i/>
    </w:rPr>
  </w:style>
  <w:style w:type="character" w:styleId="727" w:customStyle="1">
    <w:name w:val="Header Char"/>
    <w:basedOn w:val="685"/>
    <w:uiPriority w:val="99"/>
    <w:qFormat/>
  </w:style>
  <w:style w:type="character" w:styleId="728" w:customStyle="1">
    <w:name w:val="Caption Char"/>
    <w:uiPriority w:val="99"/>
    <w:qFormat/>
  </w:style>
  <w:style w:type="table" w:styleId="729"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1"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3"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6"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7"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Char Char Char Char Char Char Char Char Char Char Char Char Char"/>
    <w:basedOn w:val="675"/>
    <w:uiPriority w:val="0"/>
    <w:qFormat/>
    <w:pPr>
      <w:jc w:val="left"/>
      <w:spacing w:after="160" w:line="240" w:lineRule="exact"/>
      <w:widowControl/>
    </w:pPr>
    <w:rPr>
      <w:rFonts w:ascii="Verdana" w:hAnsi="Verdana"/>
      <w:sz w:val="20"/>
      <w:szCs w:val="20"/>
      <w:lang w:eastAsia="en-US"/>
    </w:rPr>
  </w:style>
  <w:style w:type="character" w:styleId="752" w:customStyle="1">
    <w:name w:val="标题 1 字符"/>
    <w:link w:val="676"/>
    <w:uiPriority w:val="9"/>
    <w:qFormat/>
    <w:rPr>
      <w:rFonts w:ascii="Arial" w:hAnsi="Arial" w:eastAsia="Arial" w:cs="Arial"/>
      <w:sz w:val="40"/>
      <w:szCs w:val="40"/>
    </w:rPr>
  </w:style>
  <w:style w:type="character" w:styleId="753" w:customStyle="1">
    <w:name w:val="标题 2 字符"/>
    <w:link w:val="677"/>
    <w:uiPriority w:val="9"/>
    <w:qFormat/>
    <w:rPr>
      <w:rFonts w:ascii="Arial" w:hAnsi="Arial" w:eastAsia="Arial" w:cs="Arial"/>
      <w:sz w:val="34"/>
    </w:rPr>
  </w:style>
  <w:style w:type="character" w:styleId="754" w:customStyle="1">
    <w:name w:val="标题 3 字符"/>
    <w:link w:val="678"/>
    <w:uiPriority w:val="9"/>
    <w:qFormat/>
    <w:rPr>
      <w:rFonts w:ascii="Arial" w:hAnsi="Arial" w:eastAsia="Arial" w:cs="Arial"/>
      <w:sz w:val="30"/>
      <w:szCs w:val="30"/>
    </w:rPr>
  </w:style>
  <w:style w:type="character" w:styleId="755" w:customStyle="1">
    <w:name w:val="标题 4 字符"/>
    <w:link w:val="679"/>
    <w:uiPriority w:val="9"/>
    <w:qFormat/>
    <w:rPr>
      <w:rFonts w:ascii="Arial" w:hAnsi="Arial" w:eastAsia="Arial" w:cs="Arial"/>
      <w:b/>
      <w:bCs/>
      <w:sz w:val="26"/>
      <w:szCs w:val="26"/>
    </w:rPr>
  </w:style>
  <w:style w:type="character" w:styleId="756" w:customStyle="1">
    <w:name w:val="标题 5 字符"/>
    <w:link w:val="680"/>
    <w:uiPriority w:val="9"/>
    <w:qFormat/>
    <w:rPr>
      <w:rFonts w:ascii="Arial" w:hAnsi="Arial" w:eastAsia="Arial" w:cs="Arial"/>
      <w:b/>
      <w:bCs/>
      <w:sz w:val="24"/>
      <w:szCs w:val="24"/>
    </w:rPr>
  </w:style>
  <w:style w:type="character" w:styleId="757" w:customStyle="1">
    <w:name w:val="标题 6 字符"/>
    <w:link w:val="681"/>
    <w:uiPriority w:val="9"/>
    <w:qFormat/>
    <w:rPr>
      <w:rFonts w:ascii="Arial" w:hAnsi="Arial" w:eastAsia="Arial" w:cs="Arial"/>
      <w:b/>
      <w:bCs/>
      <w:sz w:val="22"/>
      <w:szCs w:val="22"/>
    </w:rPr>
  </w:style>
  <w:style w:type="character" w:styleId="758" w:customStyle="1">
    <w:name w:val="标题 7 字符"/>
    <w:link w:val="682"/>
    <w:uiPriority w:val="9"/>
    <w:qFormat/>
    <w:rPr>
      <w:rFonts w:ascii="Arial" w:hAnsi="Arial" w:eastAsia="Arial" w:cs="Arial"/>
      <w:b/>
      <w:bCs/>
      <w:i/>
      <w:iCs/>
      <w:sz w:val="22"/>
      <w:szCs w:val="22"/>
    </w:rPr>
  </w:style>
  <w:style w:type="character" w:styleId="759" w:customStyle="1">
    <w:name w:val="标题 8 字符"/>
    <w:link w:val="683"/>
    <w:uiPriority w:val="9"/>
    <w:qFormat/>
    <w:rPr>
      <w:rFonts w:ascii="Arial" w:hAnsi="Arial" w:eastAsia="Arial" w:cs="Arial"/>
      <w:i/>
      <w:iCs/>
      <w:sz w:val="22"/>
      <w:szCs w:val="22"/>
    </w:rPr>
  </w:style>
  <w:style w:type="character" w:styleId="760" w:customStyle="1">
    <w:name w:val="标题 9 字符"/>
    <w:link w:val="684"/>
    <w:uiPriority w:val="9"/>
    <w:qFormat/>
    <w:rPr>
      <w:rFonts w:ascii="Arial" w:hAnsi="Arial" w:eastAsia="Arial" w:cs="Arial"/>
      <w:i/>
      <w:iCs/>
      <w:sz w:val="21"/>
      <w:szCs w:val="21"/>
    </w:rPr>
  </w:style>
  <w:style w:type="paragraph" w:styleId="761">
    <w:name w:val="List Paragraph"/>
    <w:basedOn w:val="675"/>
    <w:uiPriority w:val="34"/>
    <w:qFormat/>
    <w:pPr>
      <w:contextualSpacing/>
      <w:ind w:left="720"/>
    </w:pPr>
  </w:style>
  <w:style w:type="paragraph" w:styleId="762">
    <w:name w:val="No Spacing"/>
    <w:uiPriority w:val="1"/>
    <w:qFormat/>
    <w:rPr>
      <w:rFonts w:hint="default" w:ascii="Times New Roman" w:hAnsi="Times New Roman" w:eastAsia="宋体" w:cs="Times New Roman"/>
      <w:lang w:val="en-US" w:eastAsia="zh-CN" w:bidi="ar-SA"/>
    </w:rPr>
  </w:style>
  <w:style w:type="character" w:styleId="763" w:customStyle="1">
    <w:name w:val="标题 字符"/>
    <w:link w:val="709"/>
    <w:uiPriority w:val="10"/>
    <w:qFormat/>
    <w:rPr>
      <w:sz w:val="48"/>
      <w:szCs w:val="48"/>
    </w:rPr>
  </w:style>
  <w:style w:type="character" w:styleId="764" w:customStyle="1">
    <w:name w:val="副标题 字符"/>
    <w:link w:val="703"/>
    <w:uiPriority w:val="11"/>
    <w:qFormat/>
    <w:rPr>
      <w:sz w:val="24"/>
      <w:szCs w:val="24"/>
    </w:rPr>
  </w:style>
  <w:style w:type="paragraph" w:styleId="765">
    <w:name w:val="Quote"/>
    <w:basedOn w:val="675"/>
    <w:next w:val="675"/>
    <w:link w:val="766"/>
    <w:uiPriority w:val="29"/>
    <w:qFormat/>
    <w:pPr>
      <w:ind w:left="720" w:right="720"/>
    </w:pPr>
    <w:rPr>
      <w:i/>
    </w:rPr>
  </w:style>
  <w:style w:type="character" w:styleId="766" w:customStyle="1">
    <w:name w:val="引用 字符"/>
    <w:link w:val="765"/>
    <w:uiPriority w:val="29"/>
    <w:qFormat/>
    <w:rPr>
      <w:i/>
    </w:rPr>
  </w:style>
  <w:style w:type="paragraph" w:styleId="767">
    <w:name w:val="Intense Quote"/>
    <w:basedOn w:val="675"/>
    <w:next w:val="675"/>
    <w:link w:val="7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明显引用 字符"/>
    <w:link w:val="767"/>
    <w:uiPriority w:val="30"/>
    <w:qFormat/>
    <w:rPr>
      <w:i/>
    </w:rPr>
  </w:style>
  <w:style w:type="character" w:styleId="769" w:customStyle="1">
    <w:name w:val="页眉 字符"/>
    <w:link w:val="700"/>
    <w:uiPriority w:val="99"/>
    <w:qFormat/>
  </w:style>
  <w:style w:type="character" w:styleId="770" w:customStyle="1">
    <w:name w:val="Footer Char"/>
    <w:uiPriority w:val="99"/>
    <w:qFormat/>
  </w:style>
  <w:style w:type="character" w:styleId="771" w:customStyle="1">
    <w:name w:val="页脚 字符"/>
    <w:link w:val="699"/>
    <w:uiPriority w:val="99"/>
    <w:qFormat/>
  </w:style>
  <w:style w:type="table" w:styleId="7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
    <w:link w:val="704"/>
    <w:uiPriority w:val="99"/>
    <w:qFormat/>
    <w:rPr>
      <w:sz w:val="18"/>
    </w:rPr>
  </w:style>
  <w:style w:type="character" w:styleId="898" w:customStyle="1">
    <w:name w:val="尾注文本 字符"/>
    <w:link w:val="698"/>
    <w:uiPriority w:val="99"/>
    <w:qFormat/>
    <w:rPr>
      <w:sz w:val="20"/>
    </w:rPr>
  </w:style>
  <w:style w:type="paragraph" w:styleId="899" w:customStyle="1">
    <w:name w:val="TOC 标题1"/>
    <w:uiPriority w:val="39"/>
    <w:unhideWhenUsed/>
    <w:qFormat/>
    <w:rPr>
      <w:rFonts w:hint="default" w:ascii="Times New Roman" w:hAnsi="Times New Roman" w:eastAsia="宋体" w:cs="Times New Roman"/>
      <w:lang w:val="en-US" w:eastAsia="zh-CN" w:bidi="ar-SA"/>
    </w:rPr>
  </w:style>
  <w:style w:type="paragraph" w:styleId="900" w:customStyle="1">
    <w:name w:val="标题 11"/>
    <w:basedOn w:val="675"/>
    <w:next w:val="675"/>
    <w:uiPriority w:val="9"/>
    <w:qFormat/>
    <w:pPr>
      <w:keepLines/>
      <w:keepNext/>
      <w:spacing w:before="340" w:after="330" w:line="578" w:lineRule="auto"/>
      <w:outlineLvl w:val="0"/>
    </w:pPr>
    <w:rPr>
      <w:b/>
      <w:bCs/>
      <w:sz w:val="44"/>
      <w:szCs w:val="44"/>
    </w:rPr>
  </w:style>
  <w:style w:type="paragraph" w:styleId="901" w:customStyle="1">
    <w:name w:val="标题 21"/>
    <w:basedOn w:val="675"/>
    <w:next w:val="902"/>
    <w:uiPriority w:val="9"/>
    <w:qFormat/>
    <w:pPr>
      <w:keepLines/>
      <w:keepNext/>
      <w:spacing w:before="260" w:after="260" w:line="413" w:lineRule="auto"/>
      <w:outlineLvl w:val="1"/>
    </w:pPr>
    <w:rPr>
      <w:rFonts w:ascii="Arial" w:hAnsi="Arial" w:eastAsia="黑体"/>
      <w:b/>
      <w:sz w:val="32"/>
      <w:szCs w:val="20"/>
    </w:rPr>
  </w:style>
  <w:style w:type="paragraph" w:styleId="902" w:customStyle="1">
    <w:name w:val="正文缩进1"/>
    <w:basedOn w:val="675"/>
    <w:link w:val="908"/>
    <w:uiPriority w:val="0"/>
    <w:qFormat/>
    <w:pPr>
      <w:ind w:firstLine="420"/>
    </w:pPr>
    <w:rPr>
      <w:szCs w:val="20"/>
    </w:rPr>
  </w:style>
  <w:style w:type="paragraph" w:styleId="903" w:customStyle="1">
    <w:name w:val="标题 31"/>
    <w:basedOn w:val="675"/>
    <w:next w:val="675"/>
    <w:uiPriority w:val="9"/>
    <w:qFormat/>
    <w:pPr>
      <w:keepLines/>
      <w:keepNext/>
      <w:spacing w:before="260" w:after="260" w:line="413" w:lineRule="auto"/>
      <w:outlineLvl w:val="2"/>
    </w:pPr>
    <w:rPr>
      <w:rFonts w:ascii="Arial" w:hAnsi="Arial"/>
      <w:b/>
      <w:sz w:val="32"/>
      <w:szCs w:val="20"/>
    </w:rPr>
  </w:style>
  <w:style w:type="paragraph" w:styleId="904" w:customStyle="1">
    <w:name w:val="标题 41"/>
    <w:basedOn w:val="675"/>
    <w:next w:val="675"/>
    <w:link w:val="909"/>
    <w:uiPriority w:val="9"/>
    <w:qFormat/>
    <w:pPr>
      <w:keepLines/>
      <w:keepNext/>
      <w:spacing w:before="280" w:after="290" w:line="376" w:lineRule="auto"/>
      <w:outlineLvl w:val="3"/>
    </w:pPr>
    <w:rPr>
      <w:rFonts w:ascii="Cambria" w:hAnsi="Cambria"/>
      <w:b/>
      <w:bCs/>
      <w:sz w:val="28"/>
      <w:szCs w:val="28"/>
    </w:rPr>
  </w:style>
  <w:style w:type="paragraph" w:styleId="905" w:customStyle="1">
    <w:name w:val="标题 51"/>
    <w:basedOn w:val="675"/>
    <w:next w:val="675"/>
    <w:link w:val="910"/>
    <w:uiPriority w:val="9"/>
    <w:qFormat/>
    <w:pPr>
      <w:keepLines/>
      <w:keepNext/>
      <w:spacing w:before="280" w:after="290" w:line="376" w:lineRule="auto"/>
      <w:outlineLvl w:val="4"/>
    </w:pPr>
    <w:rPr>
      <w:b/>
      <w:bCs/>
      <w:sz w:val="28"/>
      <w:szCs w:val="28"/>
    </w:rPr>
  </w:style>
  <w:style w:type="character" w:styleId="906" w:customStyle="1">
    <w:name w:val="默认段落字体1"/>
    <w:uiPriority w:val="0"/>
    <w:semiHidden/>
    <w:qFormat/>
  </w:style>
  <w:style w:type="table" w:styleId="907"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08" w:customStyle="1">
    <w:name w:val="正文缩进 Char"/>
    <w:link w:val="902"/>
    <w:uiPriority w:val="0"/>
    <w:qFormat/>
    <w:rPr>
      <w:sz w:val="21"/>
    </w:rPr>
  </w:style>
  <w:style w:type="character" w:styleId="909" w:customStyle="1">
    <w:name w:val="标题 4 Char"/>
    <w:link w:val="904"/>
    <w:uiPriority w:val="9"/>
    <w:qFormat/>
    <w:rPr>
      <w:rFonts w:ascii="Cambria" w:hAnsi="Cambria"/>
      <w:b/>
      <w:bCs/>
      <w:sz w:val="28"/>
      <w:szCs w:val="28"/>
    </w:rPr>
  </w:style>
  <w:style w:type="character" w:styleId="910" w:customStyle="1">
    <w:name w:val="标题 5 Char"/>
    <w:link w:val="905"/>
    <w:uiPriority w:val="9"/>
    <w:qFormat/>
    <w:rPr>
      <w:b/>
      <w:bCs/>
      <w:sz w:val="28"/>
      <w:szCs w:val="28"/>
    </w:rPr>
  </w:style>
  <w:style w:type="paragraph" w:styleId="911" w:customStyle="1">
    <w:name w:val="题注1"/>
    <w:basedOn w:val="675"/>
    <w:next w:val="675"/>
    <w:uiPriority w:val="35"/>
    <w:qFormat/>
    <w:pPr>
      <w:jc w:val="center"/>
      <w:spacing w:before="156" w:after="156" w:line="360" w:lineRule="auto"/>
    </w:pPr>
    <w:rPr>
      <w:rFonts w:ascii="Arial" w:hAnsi="Arial" w:cs="Arial"/>
      <w:sz w:val="24"/>
      <w:szCs w:val="20"/>
    </w:rPr>
  </w:style>
  <w:style w:type="paragraph" w:styleId="912" w:customStyle="1">
    <w:name w:val="文档结构图1"/>
    <w:basedOn w:val="675"/>
    <w:uiPriority w:val="0"/>
    <w:semiHidden/>
    <w:qFormat/>
    <w:pPr>
      <w:shd w:val="clear" w:color="auto" w:fill="000080"/>
    </w:pPr>
  </w:style>
  <w:style w:type="paragraph" w:styleId="913" w:customStyle="1">
    <w:name w:val="批注文字1"/>
    <w:basedOn w:val="675"/>
    <w:link w:val="914"/>
    <w:uiPriority w:val="99"/>
    <w:unhideWhenUsed/>
    <w:qFormat/>
    <w:pPr>
      <w:jc w:val="left"/>
    </w:pPr>
  </w:style>
  <w:style w:type="character" w:styleId="914" w:customStyle="1">
    <w:name w:val="批注文字 Char"/>
    <w:link w:val="913"/>
    <w:uiPriority w:val="99"/>
    <w:qFormat/>
    <w:rPr>
      <w:sz w:val="21"/>
      <w:szCs w:val="24"/>
    </w:rPr>
  </w:style>
  <w:style w:type="paragraph" w:styleId="915" w:customStyle="1">
    <w:name w:val="正文文本 31"/>
    <w:basedOn w:val="675"/>
    <w:uiPriority w:val="0"/>
    <w:qFormat/>
    <w:rPr>
      <w:rFonts w:ascii="楷体_GB2312" w:hAnsi="Arial" w:eastAsia="楷体_GB2312" w:cs="Arial"/>
      <w:b/>
      <w:bCs/>
      <w:color w:val="000000"/>
      <w:sz w:val="24"/>
    </w:rPr>
  </w:style>
  <w:style w:type="paragraph" w:styleId="916" w:customStyle="1">
    <w:name w:val="正文文本11"/>
    <w:basedOn w:val="675"/>
    <w:next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7" w:customStyle="1">
    <w:name w:val="正文文本缩进1"/>
    <w:basedOn w:val="675"/>
    <w:uiPriority w:val="0"/>
    <w:qFormat/>
    <w:pPr>
      <w:ind w:firstLine="630"/>
    </w:pPr>
    <w:rPr>
      <w:rFonts w:ascii="楷体_GB2312" w:eastAsia="楷体_GB2312"/>
      <w:sz w:val="32"/>
      <w:szCs w:val="20"/>
    </w:rPr>
  </w:style>
  <w:style w:type="paragraph" w:styleId="918" w:customStyle="1">
    <w:name w:val="文本块1"/>
    <w:basedOn w:val="675"/>
    <w:uiPriority w:val="0"/>
    <w:qFormat/>
    <w:pPr>
      <w:ind w:left="420" w:right="33"/>
      <w:jc w:val="left"/>
    </w:pPr>
    <w:rPr>
      <w:sz w:val="24"/>
      <w:szCs w:val="20"/>
    </w:rPr>
  </w:style>
  <w:style w:type="paragraph" w:styleId="919" w:customStyle="1">
    <w:name w:val="目录 31"/>
    <w:basedOn w:val="675"/>
    <w:next w:val="675"/>
    <w:uiPriority w:val="0"/>
    <w:semiHidden/>
    <w:qFormat/>
    <w:pPr>
      <w:ind w:left="840"/>
      <w:spacing w:line="300" w:lineRule="auto"/>
      <w:tabs>
        <w:tab w:val="right" w:pos="9344" w:leader="dot"/>
      </w:tabs>
    </w:pPr>
    <w:rPr>
      <w:rFonts w:ascii="Arial" w:hAnsi="Arial" w:cs="Arial"/>
      <w:szCs w:val="21"/>
    </w:rPr>
  </w:style>
  <w:style w:type="paragraph" w:styleId="920" w:customStyle="1">
    <w:name w:val="纯文本11"/>
    <w:basedOn w:val="675"/>
    <w:link w:val="921"/>
    <w:uiPriority w:val="0"/>
    <w:qFormat/>
    <w:rPr>
      <w:rFonts w:ascii="宋体" w:hAnsi="Courier New"/>
      <w:szCs w:val="20"/>
    </w:rPr>
  </w:style>
  <w:style w:type="character" w:styleId="921" w:customStyle="1">
    <w:name w:val="纯文本 Char"/>
    <w:link w:val="920"/>
    <w:uiPriority w:val="0"/>
    <w:qFormat/>
    <w:rPr>
      <w:rFonts w:ascii="宋体" w:hAnsi="Courier New" w:eastAsia="宋体"/>
      <w:sz w:val="21"/>
      <w:lang w:val="en-US" w:eastAsia="zh-CN" w:bidi="ar-SA"/>
    </w:rPr>
  </w:style>
  <w:style w:type="paragraph" w:styleId="922" w:customStyle="1">
    <w:name w:val="正文文本缩进 21"/>
    <w:basedOn w:val="675"/>
    <w:uiPriority w:val="0"/>
    <w:qFormat/>
    <w:pPr>
      <w:ind w:left="420"/>
      <w:spacing w:after="120" w:line="480" w:lineRule="auto"/>
    </w:pPr>
  </w:style>
  <w:style w:type="paragraph" w:styleId="923" w:customStyle="1">
    <w:name w:val="批注框文本1"/>
    <w:basedOn w:val="675"/>
    <w:link w:val="924"/>
    <w:uiPriority w:val="0"/>
    <w:qFormat/>
    <w:rPr>
      <w:sz w:val="18"/>
      <w:szCs w:val="18"/>
    </w:rPr>
  </w:style>
  <w:style w:type="character" w:styleId="924" w:customStyle="1">
    <w:name w:val="批注框文本 Char"/>
    <w:link w:val="923"/>
    <w:uiPriority w:val="0"/>
    <w:qFormat/>
    <w:rPr>
      <w:sz w:val="18"/>
      <w:szCs w:val="18"/>
    </w:rPr>
  </w:style>
  <w:style w:type="paragraph" w:styleId="925" w:customStyle="1">
    <w:name w:val="页脚1"/>
    <w:basedOn w:val="675"/>
    <w:link w:val="926"/>
    <w:uiPriority w:val="0"/>
    <w:qFormat/>
    <w:pPr>
      <w:jc w:val="left"/>
      <w:tabs>
        <w:tab w:val="center" w:pos="4153" w:leader="none"/>
        <w:tab w:val="right" w:pos="8306" w:leader="none"/>
      </w:tabs>
    </w:pPr>
    <w:rPr>
      <w:sz w:val="18"/>
      <w:szCs w:val="18"/>
    </w:rPr>
  </w:style>
  <w:style w:type="character" w:styleId="926" w:customStyle="1">
    <w:name w:val="页脚 Char"/>
    <w:link w:val="925"/>
    <w:uiPriority w:val="0"/>
    <w:qFormat/>
    <w:rPr>
      <w:sz w:val="18"/>
      <w:szCs w:val="18"/>
    </w:rPr>
  </w:style>
  <w:style w:type="paragraph" w:styleId="927" w:customStyle="1">
    <w:name w:val="页眉1"/>
    <w:basedOn w:val="675"/>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sz w:val="18"/>
      <w:szCs w:val="18"/>
    </w:rPr>
  </w:style>
  <w:style w:type="paragraph" w:styleId="929" w:customStyle="1">
    <w:name w:val="目录 11"/>
    <w:basedOn w:val="675"/>
    <w:next w:val="675"/>
    <w:uiPriority w:val="0"/>
    <w:semiHidden/>
    <w:qFormat/>
  </w:style>
  <w:style w:type="paragraph" w:styleId="930" w:customStyle="1">
    <w:name w:val="正文文本缩进 311"/>
    <w:basedOn w:val="675"/>
    <w:uiPriority w:val="99"/>
    <w:qFormat/>
    <w:pPr>
      <w:ind w:firstLine="420"/>
    </w:pPr>
    <w:rPr>
      <w:rFonts w:eastAsia="楷体_GB2312"/>
    </w:rPr>
  </w:style>
  <w:style w:type="paragraph" w:styleId="931" w:customStyle="1">
    <w:name w:val="目录 21"/>
    <w:basedOn w:val="675"/>
    <w:next w:val="675"/>
    <w:uiPriority w:val="0"/>
    <w:semiHidden/>
    <w:qFormat/>
    <w:pPr>
      <w:ind w:left="420"/>
    </w:pPr>
    <w:rPr>
      <w:szCs w:val="20"/>
    </w:rPr>
  </w:style>
  <w:style w:type="paragraph" w:styleId="932" w:customStyle="1">
    <w:name w:val="正文文本 21"/>
    <w:basedOn w:val="675"/>
    <w:link w:val="933"/>
    <w:uiPriority w:val="0"/>
    <w:qFormat/>
    <w:pPr>
      <w:spacing w:line="440" w:lineRule="exact"/>
    </w:pPr>
    <w:rPr>
      <w:rFonts w:ascii="楷体_GB2312" w:eastAsia="楷体_GB2312"/>
      <w:sz w:val="28"/>
    </w:rPr>
  </w:style>
  <w:style w:type="character" w:styleId="933" w:customStyle="1">
    <w:name w:val="正文文本 2 Char"/>
    <w:link w:val="932"/>
    <w:uiPriority w:val="0"/>
    <w:qFormat/>
    <w:rPr>
      <w:rFonts w:ascii="楷体_GB2312" w:eastAsia="楷体_GB2312"/>
      <w:sz w:val="28"/>
      <w:szCs w:val="24"/>
    </w:rPr>
  </w:style>
  <w:style w:type="paragraph" w:styleId="934" w:customStyle="1">
    <w:name w:val="批注主题1"/>
    <w:basedOn w:val="913"/>
    <w:next w:val="913"/>
    <w:link w:val="935"/>
    <w:uiPriority w:val="0"/>
    <w:qFormat/>
    <w:rPr>
      <w:b/>
      <w:bCs/>
    </w:rPr>
  </w:style>
  <w:style w:type="character" w:styleId="935" w:customStyle="1">
    <w:name w:val="批注主题 Char"/>
    <w:link w:val="934"/>
    <w:uiPriority w:val="0"/>
    <w:qFormat/>
    <w:rPr>
      <w:b/>
      <w:bCs/>
      <w:sz w:val="21"/>
      <w:szCs w:val="24"/>
    </w:rPr>
  </w:style>
  <w:style w:type="paragraph" w:styleId="936" w:customStyle="1">
    <w:name w:val="正文首行缩进 21"/>
    <w:basedOn w:val="917"/>
    <w:uiPriority w:val="0"/>
    <w:qFormat/>
    <w:pPr>
      <w:ind w:left="420" w:firstLine="420"/>
      <w:spacing w:after="120"/>
      <w:widowControl/>
    </w:pPr>
    <w:rPr>
      <w:rFonts w:ascii="仿宋_GB2312" w:eastAsia="仿宋_GB2312"/>
      <w:color w:val="ff6600"/>
      <w:sz w:val="21"/>
    </w:rPr>
  </w:style>
  <w:style w:type="table" w:styleId="937" w:customStyle="1">
    <w:name w:val="网格型1"/>
    <w:basedOn w:val="907"/>
    <w:uiPriority w:val="0"/>
    <w:qFormat/>
    <w:tblPr>
      <w:tblCellMar>
        <w:left w:w="0" w:type="dxa"/>
        <w:top w:w="0" w:type="dxa"/>
        <w:right w:w="0" w:type="dxa"/>
        <w:bottom w:w="0" w:type="dxa"/>
      </w:tblCellMar>
    </w:tblPr>
  </w:style>
  <w:style w:type="character" w:styleId="938" w:customStyle="1">
    <w:name w:val="要点1"/>
    <w:uiPriority w:val="0"/>
    <w:qFormat/>
  </w:style>
  <w:style w:type="character" w:styleId="939" w:customStyle="1">
    <w:name w:val="页码1"/>
    <w:uiPriority w:val="0"/>
    <w:qFormat/>
  </w:style>
  <w:style w:type="character" w:styleId="940" w:customStyle="1">
    <w:name w:val="已访问的超链接1"/>
    <w:uiPriority w:val="0"/>
    <w:qFormat/>
    <w:rPr>
      <w:color w:val="800080"/>
      <w:u w:val="none"/>
    </w:rPr>
  </w:style>
  <w:style w:type="character" w:styleId="941" w:customStyle="1">
    <w:name w:val="强调1"/>
    <w:uiPriority w:val="0"/>
    <w:qFormat/>
  </w:style>
  <w:style w:type="character" w:styleId="942" w:customStyle="1">
    <w:name w:val="HTML 定义1"/>
    <w:uiPriority w:val="0"/>
    <w:qFormat/>
  </w:style>
  <w:style w:type="character" w:styleId="943" w:customStyle="1">
    <w:name w:val="HTML 打字机1"/>
    <w:uiPriority w:val="0"/>
    <w:qFormat/>
    <w:rPr>
      <w:rFonts w:ascii="monospace" w:hAnsi="monospace" w:eastAsia="monospace" w:cs="monospace"/>
      <w:sz w:val="20"/>
    </w:rPr>
  </w:style>
  <w:style w:type="character" w:styleId="944" w:customStyle="1">
    <w:name w:val="HTML 缩写1"/>
    <w:uiPriority w:val="0"/>
    <w:qFormat/>
  </w:style>
  <w:style w:type="character" w:styleId="945" w:customStyle="1">
    <w:name w:val="HTML 变量1"/>
    <w:uiPriority w:val="0"/>
    <w:qFormat/>
  </w:style>
  <w:style w:type="character" w:styleId="946" w:customStyle="1">
    <w:name w:val="超链接1"/>
    <w:uiPriority w:val="0"/>
    <w:qFormat/>
    <w:rPr>
      <w:color w:val="0000ff"/>
      <w:u w:val="none"/>
    </w:rPr>
  </w:style>
  <w:style w:type="character" w:styleId="947" w:customStyle="1">
    <w:name w:val="HTML 代码1"/>
    <w:uiPriority w:val="0"/>
    <w:qFormat/>
    <w:rPr>
      <w:rFonts w:ascii="monospace" w:hAnsi="monospace" w:eastAsia="monospace" w:cs="monospace"/>
      <w:sz w:val="20"/>
    </w:rPr>
  </w:style>
  <w:style w:type="character" w:styleId="948" w:customStyle="1">
    <w:name w:val="批注引用1"/>
    <w:uiPriority w:val="0"/>
    <w:qFormat/>
    <w:rPr>
      <w:sz w:val="21"/>
      <w:szCs w:val="21"/>
    </w:rPr>
  </w:style>
  <w:style w:type="character" w:styleId="949" w:customStyle="1">
    <w:name w:val="HTML 引文1"/>
    <w:uiPriority w:val="0"/>
    <w:qFormat/>
  </w:style>
  <w:style w:type="character" w:styleId="950" w:customStyle="1">
    <w:name w:val="HTML 键盘1"/>
    <w:uiPriority w:val="0"/>
    <w:qFormat/>
    <w:rPr>
      <w:rFonts w:ascii="monospace" w:hAnsi="monospace" w:eastAsia="monospace" w:cs="monospace"/>
      <w:sz w:val="20"/>
    </w:rPr>
  </w:style>
  <w:style w:type="character" w:styleId="951" w:customStyle="1">
    <w:name w:val="HTML 样本1"/>
    <w:uiPriority w:val="0"/>
    <w:qFormat/>
    <w:rPr>
      <w:rFonts w:ascii="monospace" w:hAnsi="monospace" w:eastAsia="monospace" w:cs="monospace"/>
    </w:rPr>
  </w:style>
  <w:style w:type="character" w:styleId="952" w:customStyle="1">
    <w:name w:val="Font Style30"/>
    <w:uiPriority w:val="0"/>
    <w:qFormat/>
    <w:rPr>
      <w:rFonts w:ascii="宋体" w:eastAsia="宋体" w:cs="宋体"/>
      <w:sz w:val="14"/>
      <w:szCs w:val="14"/>
    </w:rPr>
  </w:style>
  <w:style w:type="character" w:styleId="953" w:customStyle="1">
    <w:name w:val="glyphicon"/>
    <w:uiPriority w:val="0"/>
    <w:qFormat/>
  </w:style>
  <w:style w:type="character" w:styleId="954" w:customStyle="1">
    <w:name w:val="Font Style36"/>
    <w:uiPriority w:val="0"/>
    <w:qFormat/>
    <w:rPr>
      <w:rFonts w:ascii="宋体" w:eastAsia="宋体" w:cs="宋体"/>
      <w:sz w:val="16"/>
      <w:szCs w:val="16"/>
    </w:rPr>
  </w:style>
  <w:style w:type="character" w:styleId="955" w:customStyle="1">
    <w:name w:val="hour_am"/>
    <w:uiPriority w:val="0"/>
    <w:qFormat/>
  </w:style>
  <w:style w:type="character" w:styleId="956" w:customStyle="1">
    <w:name w:val="old"/>
    <w:uiPriority w:val="0"/>
    <w:qFormat/>
    <w:rPr>
      <w:color w:val="999999"/>
    </w:rPr>
  </w:style>
  <w:style w:type="character" w:styleId="957" w:customStyle="1">
    <w:name w:val="标题 2 Char"/>
    <w:uiPriority w:val="0"/>
    <w:qFormat/>
    <w:rPr>
      <w:rFonts w:ascii="Arial" w:hAnsi="Arial" w:eastAsia="黑体"/>
      <w:b/>
      <w:sz w:val="32"/>
      <w:lang w:val="en-US" w:eastAsia="zh-CN"/>
    </w:rPr>
  </w:style>
  <w:style w:type="character" w:styleId="958" w:customStyle="1">
    <w:name w:val="hover"/>
    <w:uiPriority w:val="0"/>
    <w:qFormat/>
    <w:rPr>
      <w:shd w:val="clear" w:color="auto" w:fill="eeeeee"/>
    </w:rPr>
  </w:style>
  <w:style w:type="character" w:styleId="959" w:customStyle="1">
    <w:name w:val="hour_pm"/>
    <w:uiPriority w:val="0"/>
    <w:qFormat/>
  </w:style>
  <w:style w:type="character" w:styleId="960" w:customStyle="1">
    <w:name w:val="Font Style28"/>
    <w:uiPriority w:val="0"/>
    <w:qFormat/>
    <w:rPr>
      <w:rFonts w:ascii="Constantia" w:hAnsi="Constantia" w:cs="Constantia"/>
      <w:sz w:val="28"/>
      <w:szCs w:val="28"/>
    </w:rPr>
  </w:style>
  <w:style w:type="character" w:styleId="961" w:customStyle="1">
    <w:name w:val="Font Style29"/>
    <w:uiPriority w:val="0"/>
    <w:qFormat/>
    <w:rPr>
      <w:rFonts w:ascii="Arial" w:hAnsi="Arial" w:cs="Arial"/>
      <w:sz w:val="14"/>
      <w:szCs w:val="14"/>
    </w:rPr>
  </w:style>
  <w:style w:type="character" w:styleId="962" w:customStyle="1">
    <w:name w:val="Font Style37"/>
    <w:uiPriority w:val="0"/>
    <w:qFormat/>
    <w:rPr>
      <w:rFonts w:ascii="Arial" w:hAnsi="Arial" w:cs="Arial"/>
      <w:sz w:val="16"/>
      <w:szCs w:val="16"/>
    </w:rPr>
  </w:style>
  <w:style w:type="character" w:styleId="963" w:customStyle="1">
    <w:name w:val="Plain Text Char"/>
    <w:uiPriority w:val="0"/>
    <w:qFormat/>
    <w:rPr>
      <w:rFonts w:ascii="宋体" w:hAnsi="Courier New" w:eastAsia="宋体"/>
      <w:sz w:val="21"/>
      <w:lang w:val="en-US" w:eastAsia="zh-CN" w:bidi="ar-SA"/>
    </w:rPr>
  </w:style>
  <w:style w:type="paragraph" w:styleId="96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65" w:customStyle="1">
    <w:name w:val="默认段落字体 Para Char Char Char Char Char Char Char Char Char1 Char Char Char Char Char Char Char"/>
    <w:basedOn w:val="912"/>
    <w:uiPriority w:val="0"/>
    <w:qFormat/>
    <w:rPr>
      <w:rFonts w:ascii="Tahoma" w:hAnsi="Tahoma"/>
      <w:sz w:val="24"/>
    </w:rPr>
  </w:style>
  <w:style w:type="paragraph" w:styleId="966" w:customStyle="1">
    <w:name w:val="Style9"/>
    <w:basedOn w:val="675"/>
    <w:uiPriority w:val="0"/>
    <w:qFormat/>
    <w:pPr>
      <w:jc w:val="left"/>
    </w:pPr>
    <w:rPr>
      <w:rFonts w:ascii="宋体"/>
      <w:sz w:val="24"/>
    </w:rPr>
  </w:style>
  <w:style w:type="paragraph" w:styleId="967" w:customStyle="1">
    <w:name w:val="Char"/>
    <w:basedOn w:val="675"/>
    <w:uiPriority w:val="0"/>
    <w:qFormat/>
    <w:pPr>
      <w:tabs>
        <w:tab w:val="left" w:pos="360" w:leader="none"/>
      </w:tabs>
    </w:pPr>
    <w:rPr>
      <w:sz w:val="24"/>
    </w:rPr>
  </w:style>
  <w:style w:type="paragraph" w:styleId="968" w:customStyle="1">
    <w:name w:val="Char Char Char1 Char Char Char Char"/>
    <w:basedOn w:val="675"/>
    <w:uiPriority w:val="0"/>
    <w:qFormat/>
    <w:pPr>
      <w:jc w:val="left"/>
      <w:spacing w:after="160" w:line="240" w:lineRule="exact"/>
      <w:widowControl/>
    </w:pPr>
    <w:rPr>
      <w:rFonts w:ascii="宋体" w:hAnsi="宋体"/>
      <w:b/>
      <w:sz w:val="28"/>
      <w:szCs w:val="28"/>
    </w:rPr>
  </w:style>
  <w:style w:type="paragraph" w:styleId="969" w:customStyle="1">
    <w:name w:val="Style10"/>
    <w:basedOn w:val="675"/>
    <w:uiPriority w:val="0"/>
    <w:qFormat/>
    <w:pPr>
      <w:jc w:val="left"/>
    </w:pPr>
    <w:rPr>
      <w:rFonts w:ascii="宋体"/>
      <w:sz w:val="24"/>
    </w:rPr>
  </w:style>
  <w:style w:type="paragraph" w:styleId="970" w:customStyle="1">
    <w:name w:val="首行缩进"/>
    <w:basedOn w:val="675"/>
    <w:uiPriority w:val="0"/>
    <w:qFormat/>
    <w:pPr>
      <w:ind w:firstLine="420"/>
      <w:spacing w:line="360" w:lineRule="auto"/>
    </w:pPr>
    <w:rPr>
      <w:sz w:val="20"/>
    </w:rPr>
  </w:style>
  <w:style w:type="paragraph" w:styleId="971" w:customStyle="1">
    <w:name w:val="普通正文"/>
    <w:basedOn w:val="675"/>
    <w:uiPriority w:val="0"/>
    <w:qFormat/>
    <w:pPr>
      <w:ind w:firstLine="480"/>
      <w:jc w:val="left"/>
      <w:spacing w:before="120" w:after="120" w:line="360" w:lineRule="auto"/>
    </w:pPr>
    <w:rPr>
      <w:rFonts w:ascii="Arial" w:hAnsi="Arial"/>
      <w:sz w:val="24"/>
    </w:rPr>
  </w:style>
  <w:style w:type="paragraph" w:styleId="972" w:customStyle="1">
    <w:name w:val="要点标题"/>
    <w:basedOn w:val="675"/>
    <w:uiPriority w:val="0"/>
    <w:qFormat/>
    <w:pPr>
      <w:numPr>
        <w:ilvl w:val="0"/>
        <w:numId w:val="1"/>
      </w:numPr>
      <w:jc w:val="left"/>
    </w:pPr>
    <w:rPr>
      <w:rFonts w:ascii="宋体" w:hAnsi="宋体"/>
      <w:b/>
      <w:sz w:val="24"/>
    </w:rPr>
  </w:style>
  <w:style w:type="paragraph" w:styleId="973" w:customStyle="1">
    <w:name w:val="文档正文"/>
    <w:basedOn w:val="675"/>
    <w:uiPriority w:val="0"/>
    <w:qFormat/>
    <w:pPr>
      <w:ind w:firstLine="567"/>
      <w:spacing w:line="480" w:lineRule="atLeast"/>
    </w:pPr>
    <w:rPr>
      <w:rFonts w:ascii="仿宋_GB2312"/>
      <w:szCs w:val="20"/>
    </w:rPr>
  </w:style>
  <w:style w:type="paragraph" w:styleId="974" w:customStyle="1">
    <w:name w:val="Char Char Char Char"/>
    <w:basedOn w:val="912"/>
    <w:uiPriority w:val="0"/>
    <w:qFormat/>
    <w:pPr>
      <w:spacing w:line="360" w:lineRule="auto"/>
    </w:pPr>
    <w:rPr>
      <w:rFonts w:ascii="Tahoma" w:hAnsi="Tahoma"/>
      <w:sz w:val="24"/>
    </w:rPr>
  </w:style>
  <w:style w:type="paragraph" w:styleId="975" w:customStyle="1">
    <w:name w:val="Char11"/>
    <w:basedOn w:val="675"/>
    <w:uiPriority w:val="0"/>
    <w:qFormat/>
    <w:pPr>
      <w:ind w:left="420" w:hanging="420"/>
      <w:jc w:val="left"/>
      <w:tabs>
        <w:tab w:val="left" w:pos="420" w:leader="none"/>
      </w:tabs>
    </w:pPr>
    <w:rPr>
      <w:szCs w:val="20"/>
    </w:rPr>
  </w:style>
  <w:style w:type="paragraph" w:styleId="976" w:customStyle="1">
    <w:name w:val="正文（无缩进）"/>
    <w:basedOn w:val="675"/>
    <w:uiPriority w:val="0"/>
    <w:qFormat/>
    <w:pPr>
      <w:spacing w:line="360" w:lineRule="auto"/>
    </w:pPr>
    <w:rPr>
      <w:rFonts w:ascii="Calibri" w:hAnsi="Calibri"/>
      <w:sz w:val="24"/>
      <w:szCs w:val="21"/>
    </w:rPr>
  </w:style>
  <w:style w:type="paragraph" w:styleId="977" w:customStyle="1">
    <w:name w:val="Style11"/>
    <w:basedOn w:val="675"/>
    <w:uiPriority w:val="0"/>
    <w:qFormat/>
    <w:pPr>
      <w:jc w:val="left"/>
      <w:spacing w:line="446" w:lineRule="exact"/>
    </w:pPr>
    <w:rPr>
      <w:rFonts w:ascii="宋体"/>
      <w:sz w:val="24"/>
    </w:rPr>
  </w:style>
  <w:style w:type="paragraph" w:styleId="978" w:customStyle="1">
    <w:name w:val="样式1"/>
    <w:basedOn w:val="675"/>
    <w:uiPriority w:val="0"/>
    <w:qFormat/>
    <w:pPr>
      <w:ind w:left="432" w:firstLine="288"/>
      <w:tabs>
        <w:tab w:val="left" w:pos="1110" w:leader="none"/>
      </w:tabs>
    </w:pPr>
    <w:rPr>
      <w:rFonts w:ascii="宋体" w:hAnsi="宋体"/>
      <w:szCs w:val="21"/>
    </w:rPr>
  </w:style>
  <w:style w:type="paragraph" w:styleId="979" w:customStyle="1">
    <w:name w:val="_Style 56"/>
    <w:basedOn w:val="912"/>
    <w:uiPriority w:val="0"/>
    <w:qFormat/>
    <w:pPr>
      <w:spacing w:line="436" w:lineRule="exact"/>
    </w:pPr>
    <w:rPr>
      <w:szCs w:val="20"/>
    </w:rPr>
  </w:style>
  <w:style w:type="paragraph" w:styleId="980" w:customStyle="1">
    <w:name w:val="Char Char1 Char Char Char Char Char Char"/>
    <w:basedOn w:val="675"/>
    <w:uiPriority w:val="0"/>
    <w:qFormat/>
    <w:pPr>
      <w:jc w:val="center"/>
      <w:widowControl/>
    </w:pPr>
    <w:rPr>
      <w:rFonts w:ascii="宋体" w:hAnsi="宋体"/>
      <w:b/>
      <w:sz w:val="24"/>
      <w:lang w:eastAsia="en-US"/>
    </w:rPr>
  </w:style>
  <w:style w:type="paragraph" w:styleId="981" w:customStyle="1">
    <w:name w:val="Char1"/>
    <w:basedOn w:val="675"/>
    <w:uiPriority w:val="0"/>
    <w:qFormat/>
    <w:pPr>
      <w:ind w:left="840" w:hanging="420"/>
      <w:tabs>
        <w:tab w:val="left" w:pos="840" w:leader="none"/>
      </w:tabs>
    </w:pPr>
    <w:rPr>
      <w:sz w:val="24"/>
    </w:rPr>
  </w:style>
  <w:style w:type="paragraph" w:styleId="982" w:customStyle="1">
    <w:name w:val="我的样式"/>
    <w:basedOn w:val="900"/>
    <w:next w:val="675"/>
    <w:uiPriority w:val="0"/>
    <w:qFormat/>
    <w:pPr>
      <w:numPr>
        <w:ilvl w:val="0"/>
        <w:numId w:val="2"/>
      </w:numPr>
      <w:spacing w:line="360" w:lineRule="auto"/>
    </w:pPr>
    <w:rPr>
      <w:rFonts w:ascii="仿宋_GB2312" w:eastAsia="仿宋_GB2312"/>
      <w:sz w:val="32"/>
      <w:szCs w:val="30"/>
    </w:rPr>
  </w:style>
  <w:style w:type="paragraph" w:styleId="983"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84" w:customStyle="1">
    <w:name w:val="Char Char Char Char Char Char Char Char Char Char Char Char Char1"/>
    <w:basedOn w:val="675"/>
    <w:uiPriority w:val="0"/>
    <w:qFormat/>
    <w:pPr>
      <w:jc w:val="left"/>
      <w:spacing w:after="160" w:line="240" w:lineRule="exact"/>
      <w:widowControl/>
    </w:pPr>
    <w:rPr>
      <w:rFonts w:ascii="Verdana" w:hAnsi="Verdana"/>
      <w:sz w:val="20"/>
      <w:szCs w:val="20"/>
      <w:lang w:eastAsia="en-US"/>
    </w:rPr>
  </w:style>
  <w:style w:type="paragraph" w:styleId="985" w:customStyle="1">
    <w:name w:val="标题1"/>
    <w:basedOn w:val="900"/>
    <w:next w:val="675"/>
    <w:uiPriority w:val="0"/>
    <w:qFormat/>
    <w:pPr>
      <w:numPr>
        <w:ilvl w:val="0"/>
        <w:numId w:val="3"/>
      </w:numPr>
      <w:jc w:val="left"/>
      <w:spacing w:line="578" w:lineRule="atLeast"/>
    </w:pPr>
  </w:style>
  <w:style w:type="paragraph" w:styleId="986" w:customStyle="1">
    <w:name w:val="正文（缩进） Char1"/>
    <w:basedOn w:val="675"/>
    <w:uiPriority w:val="0"/>
    <w:qFormat/>
    <w:pPr>
      <w:ind w:firstLine="480"/>
      <w:spacing w:before="156" w:after="156" w:line="360" w:lineRule="auto"/>
    </w:pPr>
    <w:rPr>
      <w:sz w:val="24"/>
    </w:rPr>
  </w:style>
  <w:style w:type="paragraph" w:styleId="987"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988" w:customStyle="1">
    <w:name w:val="Style12"/>
    <w:basedOn w:val="675"/>
    <w:uiPriority w:val="0"/>
    <w:qFormat/>
    <w:pPr>
      <w:jc w:val="left"/>
    </w:pPr>
    <w:rPr>
      <w:rFonts w:ascii="宋体"/>
      <w:sz w:val="24"/>
    </w:rPr>
  </w:style>
  <w:style w:type="paragraph" w:styleId="989" w:customStyle="1">
    <w:name w:val="纯文本1"/>
    <w:basedOn w:val="675"/>
    <w:uiPriority w:val="0"/>
    <w:qFormat/>
    <w:rPr>
      <w:rFonts w:ascii="宋体" w:hAnsi="Courier New"/>
      <w:szCs w:val="20"/>
    </w:rPr>
  </w:style>
  <w:style w:type="paragraph" w:styleId="990" w:customStyle="1">
    <w:name w:val="正文1"/>
    <w:basedOn w:val="991"/>
    <w:uiPriority w:val="0"/>
    <w:qFormat/>
    <w:pPr>
      <w:contextualSpacing/>
      <w:ind w:firstLine="200"/>
      <w:spacing w:before="120" w:after="120" w:line="180" w:lineRule="auto"/>
    </w:pPr>
    <w:rPr>
      <w:rFonts w:ascii="Calibri" w:hAnsi="Calibri" w:eastAsia="Adobe 仿宋 Std R"/>
      <w:szCs w:val="21"/>
    </w:rPr>
  </w:style>
  <w:style w:type="paragraph" w:styleId="991"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文本缩进11"/>
    <w:basedOn w:val="991"/>
    <w:uiPriority w:val="0"/>
    <w:qFormat/>
    <w:pPr>
      <w:ind w:firstLine="425"/>
      <w:spacing w:line="360" w:lineRule="auto"/>
    </w:pPr>
  </w:style>
  <w:style w:type="paragraph" w:styleId="993" w:customStyle="1">
    <w:name w:val="_Style 2"/>
    <w:basedOn w:val="675"/>
    <w:uiPriority w:val="34"/>
    <w:qFormat/>
    <w:pPr>
      <w:contextualSpacing/>
      <w:ind w:left="720"/>
      <w:jc w:val="left"/>
      <w:widowControl/>
    </w:pPr>
    <w:rPr>
      <w:rFonts w:ascii="Calibri" w:hAnsi="Calibri"/>
      <w:sz w:val="24"/>
      <w:lang w:eastAsia="en-US" w:bidi="en-US"/>
    </w:rPr>
  </w:style>
  <w:style w:type="paragraph" w:styleId="994" w:customStyle="1">
    <w:name w:val="_Style 3"/>
    <w:next w:val="995"/>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95" w:customStyle="1">
    <w:name w:val="正文文本缩进 31"/>
    <w:basedOn w:val="675"/>
    <w:uiPriority w:val="99"/>
    <w:qFormat/>
    <w:pPr>
      <w:ind w:firstLine="420"/>
    </w:pPr>
    <w:rPr>
      <w:rFonts w:eastAsia="楷体_GB2312"/>
    </w:rPr>
  </w:style>
  <w:style w:type="paragraph" w:styleId="996" w:customStyle="1">
    <w:name w:val="正文首行缩进1"/>
    <w:basedOn w:val="997"/>
    <w:uiPriority w:val="99"/>
    <w:qFormat/>
    <w:pPr>
      <w:ind w:firstLine="420"/>
      <w:tabs>
        <w:tab w:val="left" w:pos="2020" w:leader="none"/>
        <w:tab w:val="center" w:pos="4535" w:leader="none"/>
      </w:tabs>
    </w:pPr>
  </w:style>
  <w:style w:type="paragraph" w:styleId="997" w:customStyle="1">
    <w:name w:val="正文文本1"/>
    <w:basedOn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98" w:customStyle="1">
    <w:name w:val="font51"/>
    <w:basedOn w:val="685"/>
    <w:uiPriority w:val="0"/>
    <w:qFormat/>
    <w:rPr>
      <w:rFonts w:hint="eastAsia" w:ascii="宋体" w:hAnsi="宋体" w:eastAsia="宋体" w:cs="宋体"/>
      <w:color w:val="000000"/>
      <w:sz w:val="22"/>
      <w:szCs w:val="22"/>
      <w:u w:val="none"/>
    </w:rPr>
  </w:style>
  <w:style w:type="character" w:styleId="999" w:customStyle="1">
    <w:name w:val="font71"/>
    <w:basedOn w:val="685"/>
    <w:uiPriority w:val="0"/>
    <w:qFormat/>
    <w:rPr>
      <w:rFonts w:hint="default" w:ascii="Arial" w:hAnsi="Arial" w:cs="Arial"/>
      <w:color w:val="000000"/>
      <w:sz w:val="22"/>
      <w:szCs w:val="22"/>
      <w:u w:val="none"/>
    </w:rPr>
  </w:style>
  <w:style w:type="character" w:styleId="1000" w:customStyle="1">
    <w:name w:val="font81"/>
    <w:basedOn w:val="685"/>
    <w:uiPriority w:val="0"/>
    <w:qFormat/>
    <w:rPr>
      <w:rFonts w:ascii="Symbol" w:hAnsi="Symbol" w:cs="Symbol"/>
      <w:color w:val="000000"/>
      <w:sz w:val="22"/>
      <w:szCs w:val="22"/>
      <w:u w:val="none"/>
    </w:rPr>
  </w:style>
  <w:style w:type="character" w:styleId="1001" w:customStyle="1">
    <w:name w:val="font61"/>
    <w:basedOn w:val="685"/>
    <w:uiPriority w:val="0"/>
    <w:qFormat/>
    <w:rPr>
      <w:rFonts w:hint="default" w:ascii="Arial" w:hAnsi="Arial" w:cs="Arial"/>
      <w:color w:val="000000"/>
      <w:sz w:val="22"/>
      <w:szCs w:val="22"/>
      <w:u w:val="none"/>
    </w:rPr>
  </w:style>
  <w:style w:type="character" w:styleId="1002" w:customStyle="1">
    <w:name w:val="font31"/>
    <w:basedOn w:val="685"/>
    <w:uiPriority w:val="0"/>
    <w:qFormat/>
    <w:rPr>
      <w:rFonts w:hint="eastAsia" w:ascii="微软雅黑" w:hAnsi="微软雅黑" w:eastAsia="微软雅黑" w:cs="微软雅黑"/>
      <w:color w:val="000000"/>
      <w:sz w:val="18"/>
      <w:szCs w:val="18"/>
      <w:u w:val="none"/>
    </w:rPr>
  </w:style>
  <w:style w:type="character" w:styleId="1003" w:customStyle="1">
    <w:name w:val="font91"/>
    <w:basedOn w:val="685"/>
    <w:uiPriority w:val="0"/>
    <w:qFormat/>
    <w:rPr>
      <w:rFonts w:ascii="Symbol" w:hAnsi="Symbol" w:cs="Symbol"/>
      <w:color w:val="000000"/>
      <w:sz w:val="18"/>
      <w:szCs w:val="18"/>
      <w:u w:val="none"/>
    </w:rPr>
  </w:style>
  <w:style w:type="paragraph" w:styleId="1004" w:customStyle="1">
    <w:name w:val="列出段落2"/>
    <w:basedOn w:val="675"/>
    <w:uiPriority w:val="0"/>
    <w:qFormat/>
    <w:pPr>
      <w:ind w:firstLine="420"/>
    </w:pPr>
    <w:rPr>
      <w:rFonts w:ascii="Calibri" w:hAnsi="Calibri" w:cs="Calibri"/>
    </w:rPr>
  </w:style>
  <w:style w:type="character" w:styleId="1005" w:customStyle="1">
    <w:name w:val="font101"/>
    <w:basedOn w:val="685"/>
    <w:uiPriority w:val="0"/>
    <w:qFormat/>
    <w:rPr>
      <w:rFonts w:hint="default" w:ascii="Arial" w:hAnsi="Arial" w:cs="Arial"/>
      <w:color w:val="000000"/>
      <w:sz w:val="22"/>
      <w:szCs w:val="22"/>
      <w:u w:val="none"/>
    </w:rPr>
  </w:style>
  <w:style w:type="character" w:styleId="1006" w:customStyle="1">
    <w:name w:val="NormalCharacter"/>
    <w:uiPriority w:val="0"/>
    <w:qFormat/>
  </w:style>
  <w:style w:type="paragraph" w:styleId="1007"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1008" w:customStyle="1">
    <w:name w:val="正文_2_0"/>
    <w:uiPriority w:val="0"/>
    <w:qFormat/>
    <w:pPr>
      <w:jc w:val="both"/>
      <w:widowControl w:val="off"/>
    </w:pPr>
    <w:rPr>
      <w:rFonts w:hint="default" w:ascii="Calibri" w:hAnsi="Calibri" w:eastAsia="宋体" w:cs="Times New Roman"/>
      <w:sz w:val="21"/>
      <w:lang w:val="en-US" w:eastAsia="zh-CN" w:bidi="ar-SA"/>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江苏永实工程项目管理有限公司</cp:lastModifiedBy>
  <cp:revision>11</cp:revision>
  <dcterms:created xsi:type="dcterms:W3CDTF">2024-01-08T08:47:00Z</dcterms:created>
  <dcterms:modified xsi:type="dcterms:W3CDTF">2026-05-21T08:14:13Z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eyJoZGlkIjoiODQ2OTM0NTZiNjAwZTcwZTAwNDk1NDIzMzc5MTIzNjQiLCJ1c2VySWQiOiI5MDAzNTczOTQifQ==</vt:lpwstr>
  </property>
  <property fmtid="{D5CDD505-2E9C-101B-9397-08002B2CF9AE}" pid="3" name="KSOProductBuildVer">
    <vt:lpwstr>2052-12.1.0.26375</vt:lpwstr>
  </property>
  <property fmtid="{D5CDD505-2E9C-101B-9397-08002B2CF9AE}" pid="4" name="ICV">
    <vt:lpwstr>B9E156B3DC7249D5A1A60779F5E810DD_13</vt:lpwstr>
  </property>
</Properties>
</file>